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6332" w:rsidRPr="00166332" w:rsidRDefault="00166332" w:rsidP="00166332">
      <w:pPr>
        <w:spacing w:after="0" w:line="360" w:lineRule="auto"/>
        <w:jc w:val="center"/>
        <w:rPr>
          <w:rFonts w:ascii="Times New Roman" w:hAnsi="Times New Roman" w:cs="Times New Roman"/>
          <w:b/>
          <w:sz w:val="24"/>
          <w:szCs w:val="24"/>
        </w:rPr>
      </w:pPr>
      <w:r w:rsidRPr="00166332">
        <w:rPr>
          <w:rFonts w:ascii="Times New Roman" w:hAnsi="Times New Roman" w:cs="Times New Roman"/>
          <w:b/>
          <w:sz w:val="24"/>
          <w:szCs w:val="24"/>
        </w:rPr>
        <w:t>AS CO</w:t>
      </w:r>
      <w:bookmarkStart w:id="0" w:name="_GoBack"/>
      <w:bookmarkEnd w:id="0"/>
      <w:r w:rsidRPr="00166332">
        <w:rPr>
          <w:rFonts w:ascii="Times New Roman" w:hAnsi="Times New Roman" w:cs="Times New Roman"/>
          <w:b/>
          <w:sz w:val="24"/>
          <w:szCs w:val="24"/>
        </w:rPr>
        <w:t>ISAS QUE NOS CERCAM: configurações sócio-patrimoniais da Vila de Limoeiro (1875-1884)</w:t>
      </w:r>
    </w:p>
    <w:p w:rsidR="00166332" w:rsidRPr="00166332" w:rsidRDefault="00166332" w:rsidP="00166332">
      <w:pPr>
        <w:spacing w:after="0" w:line="360" w:lineRule="auto"/>
        <w:jc w:val="center"/>
        <w:rPr>
          <w:rFonts w:ascii="Times New Roman" w:hAnsi="Times New Roman" w:cs="Times New Roman"/>
          <w:b/>
          <w:sz w:val="24"/>
          <w:szCs w:val="24"/>
        </w:rPr>
      </w:pPr>
    </w:p>
    <w:p w:rsidR="00166332" w:rsidRPr="00166332" w:rsidRDefault="00166332" w:rsidP="00166332">
      <w:pPr>
        <w:spacing w:after="0" w:line="360" w:lineRule="auto"/>
        <w:jc w:val="right"/>
        <w:rPr>
          <w:rFonts w:ascii="Times New Roman" w:hAnsi="Times New Roman" w:cs="Times New Roman"/>
          <w:sz w:val="20"/>
          <w:szCs w:val="24"/>
        </w:rPr>
      </w:pPr>
      <w:r w:rsidRPr="00166332">
        <w:rPr>
          <w:rFonts w:ascii="Times New Roman" w:hAnsi="Times New Roman" w:cs="Times New Roman"/>
          <w:sz w:val="20"/>
          <w:szCs w:val="24"/>
        </w:rPr>
        <w:t>Luciana Meire Gomes Reges</w:t>
      </w:r>
      <w:r>
        <w:rPr>
          <w:rStyle w:val="Refdenotaderodap"/>
          <w:rFonts w:ascii="Times New Roman" w:hAnsi="Times New Roman" w:cs="Times New Roman"/>
          <w:sz w:val="20"/>
          <w:szCs w:val="24"/>
        </w:rPr>
        <w:footnoteReference w:id="1"/>
      </w:r>
    </w:p>
    <w:p w:rsidR="00166332" w:rsidRPr="00166332" w:rsidRDefault="00166332" w:rsidP="00166332">
      <w:pPr>
        <w:spacing w:after="0" w:line="360" w:lineRule="auto"/>
        <w:rPr>
          <w:rFonts w:ascii="Times New Roman" w:hAnsi="Times New Roman" w:cs="Times New Roman"/>
          <w:b/>
          <w:sz w:val="24"/>
          <w:szCs w:val="24"/>
        </w:rPr>
      </w:pPr>
    </w:p>
    <w:p w:rsidR="00C44E07" w:rsidRPr="00166332" w:rsidRDefault="00FE26A3" w:rsidP="00DD7BCA">
      <w:pPr>
        <w:jc w:val="both"/>
        <w:rPr>
          <w:rFonts w:ascii="Times New Roman" w:hAnsi="Times New Roman" w:cs="Times New Roman"/>
          <w:sz w:val="24"/>
          <w:szCs w:val="24"/>
        </w:rPr>
      </w:pPr>
      <w:r w:rsidRPr="00FE26A3">
        <w:rPr>
          <w:rFonts w:ascii="Times New Roman" w:hAnsi="Times New Roman" w:cs="Times New Roman"/>
          <w:sz w:val="24"/>
        </w:rPr>
        <w:t>A seguinte pesquisa intui</w:t>
      </w:r>
      <w:r w:rsidR="00D623CB">
        <w:rPr>
          <w:rFonts w:ascii="Times New Roman" w:hAnsi="Times New Roman" w:cs="Times New Roman"/>
          <w:sz w:val="24"/>
        </w:rPr>
        <w:t xml:space="preserve"> através do estudo da </w:t>
      </w:r>
      <w:r w:rsidR="00D623CB">
        <w:rPr>
          <w:rFonts w:ascii="Times New Roman" w:hAnsi="Times New Roman" w:cs="Times New Roman"/>
          <w:sz w:val="24"/>
        </w:rPr>
        <w:t xml:space="preserve">Cultura Material, que é entendida por Jean-Marie </w:t>
      </w:r>
      <w:proofErr w:type="spellStart"/>
      <w:r w:rsidR="00D623CB">
        <w:rPr>
          <w:rFonts w:ascii="Times New Roman" w:hAnsi="Times New Roman" w:cs="Times New Roman"/>
          <w:sz w:val="24"/>
        </w:rPr>
        <w:t>Pesez</w:t>
      </w:r>
      <w:proofErr w:type="spellEnd"/>
      <w:r w:rsidR="00D623CB">
        <w:rPr>
          <w:rFonts w:ascii="Times New Roman" w:hAnsi="Times New Roman" w:cs="Times New Roman"/>
          <w:sz w:val="24"/>
        </w:rPr>
        <w:t xml:space="preserve"> </w:t>
      </w:r>
      <w:r w:rsidR="00D623CB" w:rsidRPr="00897CCA">
        <w:rPr>
          <w:rFonts w:ascii="Times New Roman" w:hAnsi="Times New Roman" w:cs="Times New Roman"/>
          <w:bCs/>
          <w:sz w:val="24"/>
          <w:szCs w:val="28"/>
        </w:rPr>
        <w:t>como o conjunto de objetos que caracterizam u</w:t>
      </w:r>
      <w:r w:rsidR="00D623CB">
        <w:rPr>
          <w:rFonts w:ascii="Times New Roman" w:hAnsi="Times New Roman" w:cs="Times New Roman"/>
          <w:bCs/>
          <w:sz w:val="24"/>
          <w:szCs w:val="28"/>
        </w:rPr>
        <w:t>ma sociedade</w:t>
      </w:r>
      <w:r w:rsidR="00D623CB">
        <w:rPr>
          <w:rFonts w:ascii="Times New Roman" w:hAnsi="Times New Roman" w:cs="Times New Roman"/>
          <w:bCs/>
          <w:sz w:val="24"/>
          <w:szCs w:val="28"/>
        </w:rPr>
        <w:t xml:space="preserve">, em conformidade com </w:t>
      </w:r>
      <w:r w:rsidR="00D623CB">
        <w:rPr>
          <w:rFonts w:ascii="Times New Roman" w:hAnsi="Times New Roman" w:cs="Times New Roman"/>
          <w:sz w:val="24"/>
        </w:rPr>
        <w:t>aná</w:t>
      </w:r>
      <w:r w:rsidRPr="00FE26A3">
        <w:rPr>
          <w:rFonts w:ascii="Times New Roman" w:hAnsi="Times New Roman" w:cs="Times New Roman"/>
          <w:sz w:val="24"/>
        </w:rPr>
        <w:t>lise</w:t>
      </w:r>
      <w:r w:rsidR="00D623CB">
        <w:rPr>
          <w:rFonts w:ascii="Times New Roman" w:hAnsi="Times New Roman" w:cs="Times New Roman"/>
          <w:sz w:val="24"/>
        </w:rPr>
        <w:t>s</w:t>
      </w:r>
      <w:r w:rsidRPr="00FE26A3">
        <w:rPr>
          <w:rFonts w:ascii="Times New Roman" w:hAnsi="Times New Roman" w:cs="Times New Roman"/>
          <w:sz w:val="24"/>
        </w:rPr>
        <w:t xml:space="preserve"> dos inventários </w:t>
      </w:r>
      <w:r w:rsidRPr="00FE26A3">
        <w:rPr>
          <w:rFonts w:ascii="Times New Roman" w:hAnsi="Times New Roman" w:cs="Times New Roman"/>
          <w:i/>
          <w:sz w:val="24"/>
        </w:rPr>
        <w:t>post-mortem</w:t>
      </w:r>
      <w:r w:rsidRPr="00FE26A3">
        <w:rPr>
          <w:rFonts w:ascii="Times New Roman" w:hAnsi="Times New Roman" w:cs="Times New Roman"/>
          <w:sz w:val="24"/>
        </w:rPr>
        <w:t>,</w:t>
      </w:r>
      <w:r w:rsidR="00D40EBB">
        <w:rPr>
          <w:rFonts w:ascii="Times New Roman" w:hAnsi="Times New Roman" w:cs="Times New Roman"/>
          <w:sz w:val="24"/>
        </w:rPr>
        <w:t xml:space="preserve"> bem como com o cruzamento de registro de terras e documento camarários, </w:t>
      </w:r>
      <w:r w:rsidR="00DF09FF">
        <w:rPr>
          <w:rFonts w:ascii="Times New Roman" w:hAnsi="Times New Roman" w:cs="Times New Roman"/>
          <w:sz w:val="24"/>
        </w:rPr>
        <w:t xml:space="preserve">problematizar as relações </w:t>
      </w:r>
      <w:r w:rsidRPr="00FE26A3">
        <w:rPr>
          <w:rFonts w:ascii="Times New Roman" w:hAnsi="Times New Roman" w:cs="Times New Roman"/>
          <w:sz w:val="24"/>
        </w:rPr>
        <w:t>econômico-socia</w:t>
      </w:r>
      <w:r w:rsidR="00D623CB">
        <w:rPr>
          <w:rFonts w:ascii="Times New Roman" w:hAnsi="Times New Roman" w:cs="Times New Roman"/>
          <w:sz w:val="24"/>
        </w:rPr>
        <w:t>is</w:t>
      </w:r>
      <w:r w:rsidRPr="00FE26A3">
        <w:rPr>
          <w:rFonts w:ascii="Times New Roman" w:hAnsi="Times New Roman" w:cs="Times New Roman"/>
          <w:sz w:val="24"/>
        </w:rPr>
        <w:t xml:space="preserve"> da Vila de Limoeiro,</w:t>
      </w:r>
      <w:r w:rsidR="00D623CB">
        <w:rPr>
          <w:rFonts w:ascii="Times New Roman" w:hAnsi="Times New Roman" w:cs="Times New Roman"/>
          <w:sz w:val="24"/>
        </w:rPr>
        <w:t xml:space="preserve"> </w:t>
      </w:r>
      <w:r w:rsidR="00D40EBB">
        <w:rPr>
          <w:rFonts w:ascii="Times New Roman" w:hAnsi="Times New Roman" w:cs="Times New Roman"/>
          <w:sz w:val="24"/>
        </w:rPr>
        <w:t>como também o lu</w:t>
      </w:r>
      <w:r w:rsidRPr="00FE26A3">
        <w:rPr>
          <w:rFonts w:ascii="Times New Roman" w:hAnsi="Times New Roman" w:cs="Times New Roman"/>
          <w:sz w:val="24"/>
        </w:rPr>
        <w:t xml:space="preserve">gar social que os inventariados ocupavam no referido período </w:t>
      </w:r>
      <w:r w:rsidR="00D40EBB">
        <w:rPr>
          <w:rFonts w:ascii="Times New Roman" w:hAnsi="Times New Roman" w:cs="Times New Roman"/>
          <w:sz w:val="24"/>
        </w:rPr>
        <w:t>que marca os anos de 1875 a 1884</w:t>
      </w:r>
      <w:r w:rsidRPr="00FE26A3">
        <w:rPr>
          <w:rFonts w:ascii="Times New Roman" w:hAnsi="Times New Roman" w:cs="Times New Roman"/>
          <w:sz w:val="24"/>
        </w:rPr>
        <w:t xml:space="preserve">. Entre os bens presentes no arrolamento dos inventários </w:t>
      </w:r>
      <w:r w:rsidRPr="00FE26A3">
        <w:rPr>
          <w:rFonts w:ascii="Times New Roman" w:hAnsi="Times New Roman" w:cs="Times New Roman"/>
          <w:i/>
          <w:sz w:val="24"/>
        </w:rPr>
        <w:t>post-mortem</w:t>
      </w:r>
      <w:r w:rsidR="00D40EBB">
        <w:rPr>
          <w:rFonts w:ascii="Times New Roman" w:hAnsi="Times New Roman" w:cs="Times New Roman"/>
          <w:sz w:val="24"/>
        </w:rPr>
        <w:t>, a exemplo</w:t>
      </w:r>
      <w:r w:rsidRPr="00FE26A3">
        <w:rPr>
          <w:rFonts w:ascii="Times New Roman" w:hAnsi="Times New Roman" w:cs="Times New Roman"/>
          <w:sz w:val="24"/>
        </w:rPr>
        <w:t>: terras, benfeitorias, ferramentas e animais, dinheiro, dívidas, escravos, moradias, móveis e objetos</w:t>
      </w:r>
      <w:r w:rsidR="00D40EBB">
        <w:rPr>
          <w:rFonts w:ascii="Times New Roman" w:hAnsi="Times New Roman" w:cs="Times New Roman"/>
          <w:sz w:val="24"/>
        </w:rPr>
        <w:t>, configuram enquanto indícios para a compreensão das relações cotidianas desses indivíduos</w:t>
      </w:r>
      <w:r w:rsidRPr="00FE26A3">
        <w:rPr>
          <w:rFonts w:ascii="Times New Roman" w:hAnsi="Times New Roman" w:cs="Times New Roman"/>
          <w:sz w:val="24"/>
        </w:rPr>
        <w:t xml:space="preserve">. </w:t>
      </w:r>
      <w:r w:rsidR="00D40EBB">
        <w:rPr>
          <w:rFonts w:ascii="Times New Roman" w:hAnsi="Times New Roman" w:cs="Times New Roman"/>
          <w:sz w:val="24"/>
        </w:rPr>
        <w:t>E</w:t>
      </w:r>
      <w:r w:rsidRPr="00FE26A3">
        <w:rPr>
          <w:rFonts w:ascii="Times New Roman" w:hAnsi="Times New Roman" w:cs="Times New Roman"/>
          <w:sz w:val="24"/>
        </w:rPr>
        <w:t xml:space="preserve">ssa pesquisa objetiva analisar as configurações </w:t>
      </w:r>
      <w:r w:rsidR="00D40EBB">
        <w:rPr>
          <w:rFonts w:ascii="Times New Roman" w:hAnsi="Times New Roman" w:cs="Times New Roman"/>
          <w:sz w:val="24"/>
        </w:rPr>
        <w:t xml:space="preserve">sócio-patrimoniais estabelecidas em diálogos com as dimensões </w:t>
      </w:r>
      <w:r w:rsidRPr="00FE26A3">
        <w:rPr>
          <w:rFonts w:ascii="Times New Roman" w:hAnsi="Times New Roman" w:cs="Times New Roman"/>
          <w:sz w:val="24"/>
        </w:rPr>
        <w:t>espaciais, econômicas e</w:t>
      </w:r>
      <w:r w:rsidR="00D40EBB">
        <w:rPr>
          <w:rFonts w:ascii="Times New Roman" w:hAnsi="Times New Roman" w:cs="Times New Roman"/>
          <w:sz w:val="24"/>
        </w:rPr>
        <w:t xml:space="preserve"> naturais, n</w:t>
      </w:r>
      <w:r w:rsidRPr="00FE26A3">
        <w:rPr>
          <w:rFonts w:ascii="Times New Roman" w:hAnsi="Times New Roman" w:cs="Times New Roman"/>
          <w:sz w:val="24"/>
        </w:rPr>
        <w:t>a Vila de Limoe</w:t>
      </w:r>
      <w:r>
        <w:rPr>
          <w:rFonts w:ascii="Times New Roman" w:hAnsi="Times New Roman" w:cs="Times New Roman"/>
          <w:sz w:val="24"/>
        </w:rPr>
        <w:t>iro no período entre 1875 a 1884</w:t>
      </w:r>
      <w:r w:rsidR="006E0A65">
        <w:rPr>
          <w:rFonts w:ascii="Times New Roman" w:hAnsi="Times New Roman" w:cs="Times New Roman"/>
          <w:sz w:val="24"/>
        </w:rPr>
        <w:t>. Uma questão que emergiu por meio das leituras teórico-metodológicas em concordância com interpretação das fontes, foram questionamentos quanto o(s) mundo(s) do trabalho(s) vivenciado por esses indivíduos inseridos num espaço situado no roteiro dos comboios, que seguiam de Aracati até os centros comerciais de Pernambuco.</w:t>
      </w:r>
      <w:r w:rsidR="004A1ED6">
        <w:rPr>
          <w:rFonts w:ascii="Times New Roman" w:hAnsi="Times New Roman" w:cs="Times New Roman"/>
          <w:sz w:val="24"/>
        </w:rPr>
        <w:t xml:space="preserve"> Através do conjunto patrimonial inventariado é possível perceber elementos que constituíam formas distintas de trabalho desde as </w:t>
      </w:r>
      <w:r w:rsidR="006E0A65" w:rsidRPr="00B67D8C">
        <w:rPr>
          <w:rFonts w:ascii="Times New Roman" w:hAnsi="Times New Roman"/>
          <w:sz w:val="24"/>
          <w:szCs w:val="24"/>
        </w:rPr>
        <w:t>fazendas de gado sertanejas, espaços compostos por escravos e homens livres</w:t>
      </w:r>
      <w:r w:rsidR="004A1ED6">
        <w:rPr>
          <w:rFonts w:ascii="Times New Roman" w:hAnsi="Times New Roman"/>
          <w:sz w:val="24"/>
          <w:szCs w:val="24"/>
        </w:rPr>
        <w:t xml:space="preserve"> até mesmo práticas comerciais que corroboravam para ascensão econômica.</w:t>
      </w:r>
      <w:r w:rsidR="005C0DC9">
        <w:rPr>
          <w:rFonts w:ascii="Times New Roman" w:hAnsi="Times New Roman"/>
          <w:sz w:val="24"/>
          <w:szCs w:val="24"/>
        </w:rPr>
        <w:t xml:space="preserve"> </w:t>
      </w:r>
      <w:r w:rsidR="00DF09FF">
        <w:rPr>
          <w:rFonts w:ascii="Times New Roman" w:hAnsi="Times New Roman"/>
          <w:sz w:val="24"/>
          <w:szCs w:val="24"/>
        </w:rPr>
        <w:t xml:space="preserve">Conforme Hebe Mattos, </w:t>
      </w:r>
      <w:r w:rsidR="005C0DC9">
        <w:rPr>
          <w:rFonts w:ascii="Times New Roman" w:hAnsi="Times New Roman"/>
          <w:sz w:val="24"/>
          <w:szCs w:val="24"/>
        </w:rPr>
        <w:t xml:space="preserve">as categorias sociais: escravos, homens livres, coronéis e donas nem sempre identificáveis enquanto “pobreza” ou “riqueza”. </w:t>
      </w:r>
      <w:r w:rsidR="00DF09FF">
        <w:rPr>
          <w:rFonts w:ascii="Times New Roman" w:hAnsi="Times New Roman"/>
          <w:sz w:val="24"/>
          <w:szCs w:val="24"/>
        </w:rPr>
        <w:t>Além de problematizar as inter-relações estabelecidas entre os pecuaristas e os comerciantes, e</w:t>
      </w:r>
      <w:r w:rsidR="00DD7BCA">
        <w:rPr>
          <w:rFonts w:ascii="Times New Roman" w:hAnsi="Times New Roman"/>
          <w:sz w:val="24"/>
          <w:szCs w:val="24"/>
        </w:rPr>
        <w:t xml:space="preserve"> importante entender que</w:t>
      </w:r>
      <w:r w:rsidR="00DF09FF">
        <w:rPr>
          <w:rFonts w:ascii="Times New Roman" w:hAnsi="Times New Roman"/>
          <w:sz w:val="24"/>
          <w:szCs w:val="24"/>
        </w:rPr>
        <w:t xml:space="preserve"> por meio desse elo</w:t>
      </w:r>
      <w:r w:rsidR="00DD7BCA">
        <w:rPr>
          <w:rFonts w:ascii="Times New Roman" w:hAnsi="Times New Roman"/>
          <w:sz w:val="24"/>
          <w:szCs w:val="24"/>
        </w:rPr>
        <w:t xml:space="preserve"> </w:t>
      </w:r>
      <w:r w:rsidR="00DF09FF">
        <w:rPr>
          <w:rFonts w:ascii="Times New Roman" w:hAnsi="Times New Roman"/>
          <w:sz w:val="24"/>
          <w:szCs w:val="24"/>
        </w:rPr>
        <w:t>funcionava como um</w:t>
      </w:r>
      <w:r w:rsidR="00DD7BCA">
        <w:rPr>
          <w:rFonts w:ascii="Times New Roman" w:hAnsi="Times New Roman"/>
          <w:sz w:val="24"/>
          <w:szCs w:val="24"/>
        </w:rPr>
        <w:t>a espécie de</w:t>
      </w:r>
      <w:r w:rsidR="00DF09FF">
        <w:rPr>
          <w:rFonts w:ascii="Times New Roman" w:hAnsi="Times New Roman"/>
          <w:sz w:val="24"/>
          <w:szCs w:val="24"/>
        </w:rPr>
        <w:t xml:space="preserve"> veículo de inserção de novos hábitos e costumes </w:t>
      </w:r>
      <w:r w:rsidR="00DD7BCA">
        <w:rPr>
          <w:rFonts w:ascii="Times New Roman" w:hAnsi="Times New Roman"/>
          <w:sz w:val="24"/>
          <w:szCs w:val="24"/>
        </w:rPr>
        <w:t xml:space="preserve">na Vila de Limoeiro, ou seja, </w:t>
      </w:r>
      <w:r w:rsidR="00DD7BCA" w:rsidRPr="00DA0F6B">
        <w:rPr>
          <w:rFonts w:ascii="Times New Roman" w:hAnsi="Times New Roman"/>
          <w:sz w:val="24"/>
          <w:szCs w:val="24"/>
        </w:rPr>
        <w:t>os objetos</w:t>
      </w:r>
      <w:r w:rsidR="00DD7BCA">
        <w:rPr>
          <w:rFonts w:ascii="Times New Roman" w:hAnsi="Times New Roman"/>
          <w:sz w:val="24"/>
          <w:szCs w:val="24"/>
        </w:rPr>
        <w:t xml:space="preserve"> arrolados nos inventários </w:t>
      </w:r>
      <w:r w:rsidR="00DD7BCA">
        <w:rPr>
          <w:rFonts w:ascii="Times New Roman" w:hAnsi="Times New Roman"/>
          <w:i/>
          <w:sz w:val="24"/>
          <w:szCs w:val="24"/>
        </w:rPr>
        <w:t>post-mortem</w:t>
      </w:r>
      <w:r w:rsidR="00DD7BCA">
        <w:rPr>
          <w:rFonts w:ascii="Times New Roman" w:hAnsi="Times New Roman"/>
          <w:sz w:val="24"/>
          <w:szCs w:val="24"/>
        </w:rPr>
        <w:t xml:space="preserve"> são indícios, </w:t>
      </w:r>
      <w:r w:rsidR="00DD7BCA" w:rsidRPr="00DA0F6B">
        <w:rPr>
          <w:rFonts w:ascii="Times New Roman" w:hAnsi="Times New Roman"/>
          <w:sz w:val="24"/>
          <w:szCs w:val="24"/>
        </w:rPr>
        <w:t>reflexos da vida social, econômica</w:t>
      </w:r>
      <w:r w:rsidR="00DD7BCA">
        <w:rPr>
          <w:rFonts w:ascii="Times New Roman" w:hAnsi="Times New Roman"/>
          <w:sz w:val="24"/>
          <w:szCs w:val="24"/>
        </w:rPr>
        <w:t xml:space="preserve">, religiosa </w:t>
      </w:r>
      <w:r w:rsidR="00DD7BCA" w:rsidRPr="00DA0F6B">
        <w:rPr>
          <w:rFonts w:ascii="Times New Roman" w:hAnsi="Times New Roman"/>
          <w:sz w:val="24"/>
          <w:szCs w:val="24"/>
        </w:rPr>
        <w:t>e moral desses sujeito</w:t>
      </w:r>
      <w:r w:rsidR="00DD7BCA">
        <w:rPr>
          <w:rFonts w:ascii="Times New Roman" w:hAnsi="Times New Roman"/>
          <w:sz w:val="24"/>
          <w:szCs w:val="24"/>
        </w:rPr>
        <w:t xml:space="preserve">s. </w:t>
      </w:r>
    </w:p>
    <w:sectPr w:rsidR="00C44E07" w:rsidRPr="0016633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6332" w:rsidRDefault="00166332" w:rsidP="00166332">
      <w:pPr>
        <w:spacing w:after="0" w:line="240" w:lineRule="auto"/>
      </w:pPr>
      <w:r>
        <w:separator/>
      </w:r>
    </w:p>
  </w:endnote>
  <w:endnote w:type="continuationSeparator" w:id="0">
    <w:p w:rsidR="00166332" w:rsidRDefault="00166332" w:rsidP="001663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6332" w:rsidRDefault="00166332" w:rsidP="00166332">
      <w:pPr>
        <w:spacing w:after="0" w:line="240" w:lineRule="auto"/>
      </w:pPr>
      <w:r>
        <w:separator/>
      </w:r>
    </w:p>
  </w:footnote>
  <w:footnote w:type="continuationSeparator" w:id="0">
    <w:p w:rsidR="00166332" w:rsidRDefault="00166332" w:rsidP="00166332">
      <w:pPr>
        <w:spacing w:after="0" w:line="240" w:lineRule="auto"/>
      </w:pPr>
      <w:r>
        <w:continuationSeparator/>
      </w:r>
    </w:p>
  </w:footnote>
  <w:footnote w:id="1">
    <w:p w:rsidR="00166332" w:rsidRPr="00166332" w:rsidRDefault="00166332" w:rsidP="00166332">
      <w:pPr>
        <w:spacing w:after="0" w:line="240" w:lineRule="auto"/>
        <w:jc w:val="both"/>
        <w:rPr>
          <w:rFonts w:ascii="Times New Roman" w:eastAsia="Times New Roman" w:hAnsi="Times New Roman" w:cs="Times New Roman"/>
          <w:sz w:val="20"/>
          <w:szCs w:val="20"/>
          <w:lang w:eastAsia="pt-BR"/>
        </w:rPr>
      </w:pPr>
      <w:r w:rsidRPr="00166332">
        <w:rPr>
          <w:rStyle w:val="Refdenotaderodap"/>
          <w:rFonts w:ascii="Times New Roman" w:hAnsi="Times New Roman" w:cs="Times New Roman"/>
          <w:sz w:val="20"/>
          <w:szCs w:val="20"/>
        </w:rPr>
        <w:footnoteRef/>
      </w:r>
      <w:r w:rsidRPr="00166332">
        <w:rPr>
          <w:rFonts w:ascii="Times New Roman" w:hAnsi="Times New Roman" w:cs="Times New Roman"/>
          <w:sz w:val="20"/>
          <w:szCs w:val="20"/>
        </w:rPr>
        <w:t xml:space="preserve"> E-mail: </w:t>
      </w:r>
      <w:hyperlink r:id="rId1" w:history="1">
        <w:r w:rsidRPr="00166332">
          <w:rPr>
            <w:rStyle w:val="Hyperlink"/>
            <w:rFonts w:ascii="Times New Roman" w:hAnsi="Times New Roman" w:cs="Times New Roman"/>
            <w:sz w:val="20"/>
            <w:szCs w:val="20"/>
          </w:rPr>
          <w:t>lucianareges@bol.com.br</w:t>
        </w:r>
      </w:hyperlink>
      <w:r w:rsidRPr="00166332">
        <w:rPr>
          <w:rFonts w:ascii="Times New Roman" w:hAnsi="Times New Roman" w:cs="Times New Roman"/>
          <w:sz w:val="20"/>
          <w:szCs w:val="20"/>
        </w:rPr>
        <w:t xml:space="preserve">, cujo eixo temático tencionado é </w:t>
      </w:r>
      <w:r w:rsidRPr="00166332">
        <w:rPr>
          <w:rFonts w:ascii="Times New Roman" w:eastAsia="Times New Roman" w:hAnsi="Times New Roman" w:cs="Times New Roman"/>
          <w:i/>
          <w:sz w:val="20"/>
          <w:szCs w:val="20"/>
          <w:lang w:eastAsia="pt-BR"/>
        </w:rPr>
        <w:t>Mundos do Trabalho: Classe,</w:t>
      </w:r>
      <w:r w:rsidRPr="00166332">
        <w:rPr>
          <w:rFonts w:ascii="Times New Roman" w:eastAsia="Times New Roman" w:hAnsi="Times New Roman" w:cs="Times New Roman"/>
          <w:i/>
          <w:sz w:val="20"/>
          <w:szCs w:val="20"/>
          <w:lang w:eastAsia="pt-BR"/>
        </w:rPr>
        <w:t xml:space="preserve"> Cultura e Trabalho na História</w:t>
      </w:r>
      <w:r w:rsidRPr="00166332">
        <w:rPr>
          <w:rFonts w:ascii="Times New Roman" w:eastAsia="Times New Roman" w:hAnsi="Times New Roman" w:cs="Times New Roman"/>
          <w:sz w:val="20"/>
          <w:szCs w:val="20"/>
          <w:lang w:eastAsia="pt-BR"/>
        </w:rPr>
        <w:t xml:space="preserve">. </w:t>
      </w:r>
      <w:r w:rsidRPr="00166332">
        <w:rPr>
          <w:rFonts w:ascii="Times New Roman" w:hAnsi="Times New Roman" w:cs="Times New Roman"/>
          <w:sz w:val="20"/>
          <w:szCs w:val="20"/>
          <w:lang w:val="pt-PT"/>
        </w:rPr>
        <w:t xml:space="preserve">Mestranda em História Social pela Universidade Federal do Ceará – UFC, orientador: Dr. Antônio Eurípedes Funes.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5A5179"/>
    <w:multiLevelType w:val="multilevel"/>
    <w:tmpl w:val="C25CE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6332"/>
    <w:rsid w:val="001601FC"/>
    <w:rsid w:val="00166332"/>
    <w:rsid w:val="004A1ED6"/>
    <w:rsid w:val="005C0DC9"/>
    <w:rsid w:val="006E0A65"/>
    <w:rsid w:val="00A2083C"/>
    <w:rsid w:val="00AD5EF5"/>
    <w:rsid w:val="00D40EBB"/>
    <w:rsid w:val="00D623CB"/>
    <w:rsid w:val="00DD7BCA"/>
    <w:rsid w:val="00DF09FF"/>
    <w:rsid w:val="00EB091D"/>
    <w:rsid w:val="00FE26A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6332"/>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notaderodap">
    <w:name w:val="footnote text"/>
    <w:basedOn w:val="Normal"/>
    <w:link w:val="TextodenotaderodapChar"/>
    <w:uiPriority w:val="99"/>
    <w:semiHidden/>
    <w:unhideWhenUsed/>
    <w:rsid w:val="00166332"/>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166332"/>
    <w:rPr>
      <w:sz w:val="20"/>
      <w:szCs w:val="20"/>
    </w:rPr>
  </w:style>
  <w:style w:type="character" w:styleId="Refdenotaderodap">
    <w:name w:val="footnote reference"/>
    <w:basedOn w:val="Fontepargpadro"/>
    <w:uiPriority w:val="99"/>
    <w:semiHidden/>
    <w:unhideWhenUsed/>
    <w:rsid w:val="00166332"/>
    <w:rPr>
      <w:vertAlign w:val="superscript"/>
    </w:rPr>
  </w:style>
  <w:style w:type="character" w:styleId="Hyperlink">
    <w:name w:val="Hyperlink"/>
    <w:basedOn w:val="Fontepargpadro"/>
    <w:uiPriority w:val="99"/>
    <w:unhideWhenUsed/>
    <w:rsid w:val="0016633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6332"/>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notaderodap">
    <w:name w:val="footnote text"/>
    <w:basedOn w:val="Normal"/>
    <w:link w:val="TextodenotaderodapChar"/>
    <w:uiPriority w:val="99"/>
    <w:semiHidden/>
    <w:unhideWhenUsed/>
    <w:rsid w:val="00166332"/>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166332"/>
    <w:rPr>
      <w:sz w:val="20"/>
      <w:szCs w:val="20"/>
    </w:rPr>
  </w:style>
  <w:style w:type="character" w:styleId="Refdenotaderodap">
    <w:name w:val="footnote reference"/>
    <w:basedOn w:val="Fontepargpadro"/>
    <w:uiPriority w:val="99"/>
    <w:semiHidden/>
    <w:unhideWhenUsed/>
    <w:rsid w:val="00166332"/>
    <w:rPr>
      <w:vertAlign w:val="superscript"/>
    </w:rPr>
  </w:style>
  <w:style w:type="character" w:styleId="Hyperlink">
    <w:name w:val="Hyperlink"/>
    <w:basedOn w:val="Fontepargpadro"/>
    <w:uiPriority w:val="99"/>
    <w:unhideWhenUsed/>
    <w:rsid w:val="0016633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mailto:lucianareges@bol.com.br"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DD94D8-F0EB-4FFD-9E15-F07431DA36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1</Pages>
  <Words>340</Words>
  <Characters>1842</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Luciana</dc:creator>
  <cp:lastModifiedBy>Luciana</cp:lastModifiedBy>
  <cp:revision>10</cp:revision>
  <dcterms:created xsi:type="dcterms:W3CDTF">2012-08-27T15:29:00Z</dcterms:created>
  <dcterms:modified xsi:type="dcterms:W3CDTF">2012-08-27T16:25:00Z</dcterms:modified>
</cp:coreProperties>
</file>