
<file path=[Content_Types].xml><?xml version="1.0" encoding="utf-8"?>
<Types xmlns="http://schemas.openxmlformats.org/package/2006/content-types">
  <Override PartName="/word/fontTable.xml" ContentType="application/vnd.openxmlformats-officedocument.wordprocessingml.fontTable+xml"/>
  <Override PartName="/word/_rels/document.xml.rels" ContentType="application/vnd.openxmlformats-package.relationships+xml"/>
  <Override PartName="/word/footnotes.xml" ContentType="application/vnd.openxmlformats-officedocument.wordprocessingml.footnotes+xml"/>
  <Override PartName="/word/styles.xml" ContentType="application/vnd.openxmlformats-officedocument.wordprocessingml.styles+xml"/>
  <Override PartName="/word/document.xml" ContentType="application/vnd.openxmlformats-officedocument.wordprocessingml.document.main+xml"/>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body>
    <w:p>
      <w:pPr>
        <w:pStyle w:val="style0"/>
        <w:jc w:val="center"/>
        <w:spacing w:after="120" w:before="0"/>
      </w:pPr>
      <w:r>
        <w:rPr>
          <w:sz w:val="24"/>
          <w:b/>
          <w:szCs w:val="24"/>
          <w:rFonts w:ascii="Times New Roman" w:hAnsi="Times New Roman"/>
        </w:rPr>
        <w:t>COTIDIANO E CURRÍCULO NAS ANTIGAS ESCOLAS MILITARES DO EXÉRCITO (1889-1905)</w:t>
      </w:r>
    </w:p>
    <w:p>
      <w:pPr>
        <w:pStyle w:val="style0"/>
        <w:jc w:val="center"/>
      </w:pPr>
      <w:r>
        <w:rPr>
          <w:color w:val="333333"/>
          <w:sz w:val="24"/>
          <w:szCs w:val="24"/>
          <w:rFonts w:ascii="Times New Roman" w:hAnsi="Times New Roman"/>
        </w:rPr>
      </w:r>
    </w:p>
    <w:p>
      <w:pPr>
        <w:pStyle w:val="style0"/>
        <w:jc w:val="right"/>
      </w:pPr>
      <w:r>
        <w:rPr>
          <w:sz w:val="24"/>
          <w:szCs w:val="24"/>
          <w:rFonts w:ascii="Times New Roman" w:hAnsi="Times New Roman"/>
        </w:rPr>
        <w:t>Janote Pires Marques</w:t>
      </w:r>
    </w:p>
    <w:p>
      <w:pPr>
        <w:pStyle w:val="style0"/>
        <w:jc w:val="right"/>
      </w:pPr>
      <w:hyperlink r:id="rId2">
        <w:r>
          <w:rPr>
            <w:color w:val="00000A"/>
            <w:sz w:val="24"/>
            <w:u w:val="none"/>
            <w:szCs w:val="24"/>
            <w:rStyle w:val="style18"/>
            <w:rFonts w:ascii="Times New Roman" w:hAnsi="Times New Roman"/>
          </w:rPr>
          <w:t>janotepires@hotmail.com</w:t>
        </w:r>
      </w:hyperlink>
    </w:p>
    <w:p>
      <w:pPr>
        <w:pStyle w:val="style0"/>
        <w:jc w:val="right"/>
      </w:pPr>
      <w:r>
        <w:rPr>
          <w:sz w:val="24"/>
          <w:szCs w:val="24"/>
          <w:rFonts w:ascii="Times New Roman" w:hAnsi="Times New Roman"/>
        </w:rPr>
        <w:t>Doutorando em Educação Brasileira – UFC</w:t>
      </w:r>
    </w:p>
    <w:p>
      <w:pPr>
        <w:pStyle w:val="style0"/>
        <w:jc w:val="right"/>
      </w:pPr>
      <w:r>
        <w:rPr>
          <w:sz w:val="24"/>
          <w:szCs w:val="24"/>
          <w:rFonts w:ascii="Times New Roman" w:hAnsi="Times New Roman"/>
        </w:rPr>
      </w:r>
    </w:p>
    <w:p>
      <w:pPr>
        <w:pStyle w:val="style0"/>
        <w:jc w:val="both"/>
      </w:pPr>
      <w:r>
        <w:rPr>
          <w:sz w:val="24"/>
          <w:b/>
          <w:szCs w:val="24"/>
          <w:rFonts w:ascii="Times New Roman" w:hAnsi="Times New Roman"/>
        </w:rPr>
        <w:t>Resumo</w:t>
      </w:r>
      <w:r>
        <w:rPr>
          <w:sz w:val="24"/>
          <w:szCs w:val="24"/>
          <w:rFonts w:ascii="Times New Roman" w:hAnsi="Times New Roman"/>
        </w:rPr>
        <w:t xml:space="preserve">. O objetivo deste trabalho é investigar a formação de oficiais nas escolas militares (ensino superior) do Exército Brasileiro (EB), no período de 1889 a 1905, a partir de experiências cotidianas protagonizadas pelos alunos, mas não previstas nos regulamentos e currículos formais. No recorte temporal destacado, o ensino nas escolas militares do EB sofreu várias reformas marcadas pelo embate entre o saber científico (formação intelectual) e o saber profissional (militar). O tipo de educação constituída nesse período foi influenciado por vários fatores, como as correntes de pensamento que chegavam da Europa, o papel dos militares na transição para a República, e a necessidade de “modernizar” a educação militar. Ao mesmo tempo, os alunos das escolas militares foram personagens ativos na construção de saberes que estavam, em boa parte, além das práticas curriculares institucionalmente previstas. Buscamos apoio em alguns aportes teóricos, como as considerações sobre </w:t>
      </w:r>
      <w:r>
        <w:rPr>
          <w:sz w:val="24"/>
          <w:i/>
          <w:szCs w:val="24"/>
          <w:rFonts w:ascii="Times New Roman" w:hAnsi="Times New Roman"/>
        </w:rPr>
        <w:t>cotidiano</w:t>
      </w:r>
      <w:r>
        <w:rPr>
          <w:sz w:val="24"/>
          <w:szCs w:val="24"/>
          <w:rFonts w:ascii="Times New Roman" w:hAnsi="Times New Roman"/>
        </w:rPr>
        <w:t xml:space="preserve">, de Michel de Certeau e o conceito de </w:t>
      </w:r>
      <w:r>
        <w:rPr>
          <w:sz w:val="24"/>
          <w:i/>
          <w:szCs w:val="24"/>
          <w:rFonts w:ascii="Times New Roman" w:hAnsi="Times New Roman"/>
        </w:rPr>
        <w:t>currículo oculto</w:t>
      </w:r>
      <w:r>
        <w:rPr>
          <w:sz w:val="24"/>
          <w:szCs w:val="24"/>
          <w:rFonts w:ascii="Times New Roman" w:hAnsi="Times New Roman"/>
        </w:rPr>
        <w:t xml:space="preserve"> desenvolvido por Philip Jackson.</w:t>
      </w:r>
      <w:r>
        <w:rPr>
          <w:sz w:val="24"/>
          <w:szCs w:val="24"/>
          <w:rFonts w:ascii="Times New Roman" w:eastAsia="Times New Roman" w:hAnsi="Times New Roman"/>
          <w:lang w:eastAsia="pt-BR"/>
        </w:rPr>
        <w:t xml:space="preserve"> </w:t>
      </w:r>
      <w:r>
        <w:rPr>
          <w:sz w:val="24"/>
          <w:szCs w:val="24"/>
          <w:rFonts w:ascii="Times New Roman" w:hAnsi="Times New Roman"/>
        </w:rPr>
        <w:t xml:space="preserve">A metodologia utilizada na pesquisa tem como base a leitura, organização e análise do conjunto de documentos/fontes produzidos pelas Escolas Militares, no período de 1889 a 1905. Embora seja uma documentação institucional, registra um grande número de informações referentes ao cotidiano dos alunos. Busca-se, ainda, um cruzamento dessas informações com o registrado em outros tipos de fontes, como a legislação educacional da época referente ao ensino militar no EB, os impressos produzidos pelos alunos das escolas militares (revistas e jornais) e publicações memorialísticas de ex-alunos das escolas militares em tela. </w:t>
      </w:r>
    </w:p>
    <w:p>
      <w:pPr>
        <w:pStyle w:val="style0"/>
        <w:jc w:val="both"/>
      </w:pPr>
      <w:r>
        <w:rPr>
          <w:sz w:val="24"/>
          <w:szCs w:val="24"/>
          <w:rFonts w:ascii="Times New Roman" w:hAnsi="Times New Roman"/>
        </w:rPr>
      </w:r>
    </w:p>
    <w:p>
      <w:pPr>
        <w:pStyle w:val="style0"/>
        <w:jc w:val="both"/>
      </w:pPr>
      <w:r>
        <w:rPr>
          <w:sz w:val="24"/>
          <w:b/>
          <w:szCs w:val="24"/>
          <w:rFonts w:ascii="Times New Roman" w:hAnsi="Times New Roman"/>
        </w:rPr>
        <w:t>Palavras-chave</w:t>
      </w:r>
      <w:r>
        <w:rPr>
          <w:sz w:val="24"/>
          <w:szCs w:val="24"/>
          <w:rFonts w:ascii="Times New Roman" w:hAnsi="Times New Roman"/>
        </w:rPr>
        <w:t xml:space="preserve">: Educação Militar – Cotidiano – Currículo </w:t>
      </w:r>
    </w:p>
    <w:p>
      <w:pPr>
        <w:pStyle w:val="style0"/>
        <w:jc w:val="both"/>
      </w:pPr>
      <w:r>
        <w:rPr>
          <w:sz w:val="24"/>
          <w:szCs w:val="24"/>
          <w:rFonts w:ascii="Times New Roman" w:hAnsi="Times New Roman"/>
        </w:rPr>
      </w:r>
    </w:p>
    <w:p>
      <w:pPr>
        <w:pStyle w:val="style0"/>
        <w:jc w:val="both"/>
      </w:pPr>
      <w:r>
        <w:rPr>
          <w:sz w:val="24"/>
          <w:szCs w:val="24"/>
          <w:rFonts w:ascii="Times New Roman" w:hAnsi="Times New Roman"/>
        </w:rPr>
      </w:r>
    </w:p>
    <w:p>
      <w:pPr>
        <w:pStyle w:val="style0"/>
        <w:jc w:val="both"/>
      </w:pPr>
      <w:r>
        <w:rPr>
          <w:rStyle w:val="style25"/>
          <w:sz w:val="24"/>
          <w:b/>
          <w:szCs w:val="24"/>
          <w:rFonts w:ascii="Times New Roman" w:hAnsi="Times New Roman"/>
          <w:lang w:val="en-US"/>
        </w:rPr>
        <w:t>Abstract</w:t>
      </w:r>
      <w:r>
        <w:rPr>
          <w:rStyle w:val="style25"/>
          <w:sz w:val="24"/>
          <w:szCs w:val="24"/>
          <w:rFonts w:ascii="Times New Roman" w:hAnsi="Times New Roman"/>
          <w:lang w:val="en-US"/>
        </w:rPr>
        <w:t>. The</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objective of this study</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is to investigate the</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training</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of officers</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in the military schools</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(higher education</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Brazilian Army</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w:t>
      </w:r>
      <w:r>
        <w:rPr>
          <w:rStyle w:val="style24"/>
          <w:sz w:val="24"/>
          <w:szCs w:val="24"/>
          <w:rFonts w:ascii="Times New Roman" w:hAnsi="Times New Roman"/>
          <w:lang w:val="en-US"/>
        </w:rPr>
        <w:t xml:space="preserve">EB) in the period </w:t>
      </w:r>
      <w:r>
        <w:rPr>
          <w:rStyle w:val="style25"/>
          <w:sz w:val="24"/>
          <w:szCs w:val="24"/>
          <w:rFonts w:ascii="Times New Roman" w:hAnsi="Times New Roman"/>
          <w:lang w:val="en-US"/>
        </w:rPr>
        <w:t>from 1889 to 1905</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from</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everyday experiences</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protagonized</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by students</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but not</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provided for</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in the regulations</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and</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formal curriculum</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In the</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time frame</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highlighted,</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teaching in</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military schools</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of</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EB</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underwent several</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reforms</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marked</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by the clash</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between scientific knowledge</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w:t>
      </w:r>
      <w:r>
        <w:rPr>
          <w:rStyle w:val="style24"/>
          <w:sz w:val="24"/>
          <w:szCs w:val="24"/>
          <w:rFonts w:ascii="Times New Roman" w:hAnsi="Times New Roman"/>
          <w:lang w:val="en-US"/>
        </w:rPr>
        <w:t xml:space="preserve">intellectual formation) </w:t>
      </w:r>
      <w:r>
        <w:rPr>
          <w:rStyle w:val="style25"/>
          <w:sz w:val="24"/>
          <w:szCs w:val="24"/>
          <w:rFonts w:ascii="Times New Roman" w:hAnsi="Times New Roman"/>
          <w:lang w:val="en-US"/>
        </w:rPr>
        <w:t>and</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professional knowledge</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(military</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The type of</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education</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made</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​​during this period</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was influenced</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by</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several factors such as</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currents</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of thought which</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came</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from Europe</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the military's role</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in the transition to</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the Republic</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and the need to</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"modernize</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military education</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At the same</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time, students</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of</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military schools</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were</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active characters</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in the construction</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of knowledge that</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were</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largely</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beyond the</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curricular practices</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institutionally</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provided</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We seek</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support in some</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theoretical contributions</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as</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considerations of</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everyday life</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Michel de</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Certeau</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and the concept of</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hidden curriculum</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developed by</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Philip</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Jackson</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The methodology used</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in the research</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is based on</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the reading</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organization</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and analysis</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of all the documents</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sources</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produced by the</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Military Schools</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in the period</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from 1889 to 1905</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Although an</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institutional documentation</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records a</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lot of</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information about the</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daily life of students</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Search</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is</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also</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a crossover</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with</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this information</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recorded in</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other</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sources</w:t>
      </w:r>
      <w:r>
        <w:rPr>
          <w:rStyle w:val="style24"/>
          <w:sz w:val="24"/>
          <w:szCs w:val="24"/>
          <w:rFonts w:ascii="Times New Roman" w:hAnsi="Times New Roman"/>
          <w:lang w:val="en-US"/>
        </w:rPr>
        <w:t xml:space="preserve">, such as the </w:t>
      </w:r>
      <w:r>
        <w:rPr>
          <w:rStyle w:val="style25"/>
          <w:sz w:val="24"/>
          <w:szCs w:val="24"/>
          <w:rFonts w:ascii="Times New Roman" w:hAnsi="Times New Roman"/>
          <w:lang w:val="en-US"/>
        </w:rPr>
        <w:t>educational legislation</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of the time</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for the</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military education</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in</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EB</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the forms</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produced by students</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of</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military schools</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w:t>
      </w:r>
      <w:r>
        <w:rPr>
          <w:rStyle w:val="style24"/>
          <w:sz w:val="24"/>
          <w:szCs w:val="24"/>
          <w:rFonts w:ascii="Times New Roman" w:hAnsi="Times New Roman"/>
          <w:lang w:val="en-US"/>
        </w:rPr>
        <w:t xml:space="preserve">magazines and </w:t>
      </w:r>
      <w:r>
        <w:rPr>
          <w:rStyle w:val="style25"/>
          <w:sz w:val="24"/>
          <w:szCs w:val="24"/>
          <w:rFonts w:ascii="Times New Roman" w:hAnsi="Times New Roman"/>
          <w:lang w:val="en-US"/>
        </w:rPr>
        <w:t>newspapers</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and memories publications</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of</w:t>
      </w:r>
      <w:r>
        <w:rPr>
          <w:rStyle w:val="style24"/>
          <w:sz w:val="24"/>
          <w:szCs w:val="24"/>
          <w:rFonts w:ascii="Times New Roman" w:hAnsi="Times New Roman"/>
          <w:lang w:val="en-US"/>
        </w:rPr>
        <w:t xml:space="preserve"> students </w:t>
      </w:r>
      <w:r>
        <w:rPr>
          <w:rStyle w:val="style25"/>
          <w:sz w:val="24"/>
          <w:szCs w:val="24"/>
          <w:rFonts w:ascii="Times New Roman" w:hAnsi="Times New Roman"/>
          <w:lang w:val="en-US"/>
        </w:rPr>
        <w:t>of</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military schools</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in</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the screen.</w:t>
      </w:r>
    </w:p>
    <w:p>
      <w:pPr>
        <w:pStyle w:val="style0"/>
        <w:jc w:val="both"/>
      </w:pPr>
      <w:r>
        <w:rPr>
          <w:sz w:val="24"/>
          <w:szCs w:val="24"/>
          <w:rFonts w:ascii="Times New Roman" w:hAnsi="Times New Roman"/>
          <w:lang w:val="en-US"/>
        </w:rPr>
        <w:br/>
      </w:r>
      <w:r>
        <w:rPr>
          <w:rStyle w:val="style25"/>
          <w:sz w:val="24"/>
          <w:b/>
          <w:szCs w:val="24"/>
          <w:rFonts w:ascii="Times New Roman" w:hAnsi="Times New Roman"/>
          <w:lang w:val="en-US"/>
        </w:rPr>
        <w:t>Keywords</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Military Education</w:t>
      </w:r>
      <w:r>
        <w:rPr>
          <w:rStyle w:val="style24"/>
          <w:sz w:val="24"/>
          <w:szCs w:val="24"/>
          <w:rFonts w:ascii="Times New Roman" w:hAnsi="Times New Roman"/>
          <w:lang w:val="en-US"/>
        </w:rPr>
        <w:t xml:space="preserve"> </w:t>
      </w:r>
      <w:r>
        <w:rPr>
          <w:rStyle w:val="style25"/>
          <w:sz w:val="24"/>
          <w:szCs w:val="24"/>
          <w:rFonts w:ascii="Times New Roman" w:hAnsi="Times New Roman"/>
          <w:lang w:val="en-US"/>
        </w:rPr>
        <w:t xml:space="preserve">– </w:t>
      </w:r>
      <w:r>
        <w:rPr>
          <w:rStyle w:val="style24"/>
          <w:sz w:val="24"/>
          <w:szCs w:val="24"/>
          <w:rFonts w:ascii="Times New Roman" w:hAnsi="Times New Roman"/>
          <w:lang w:val="en-US"/>
        </w:rPr>
        <w:t xml:space="preserve">Quotidian </w:t>
      </w:r>
      <w:r>
        <w:rPr>
          <w:rStyle w:val="style25"/>
          <w:sz w:val="24"/>
          <w:szCs w:val="24"/>
          <w:rFonts w:ascii="Times New Roman" w:hAnsi="Times New Roman"/>
          <w:lang w:val="en-US"/>
        </w:rPr>
        <w:t>– Curriculum</w:t>
      </w:r>
    </w:p>
    <w:p>
      <w:pPr>
        <w:pStyle w:val="style0"/>
        <w:jc w:val="both"/>
      </w:pPr>
      <w:r>
        <w:rPr>
          <w:sz w:val="24"/>
          <w:szCs w:val="24"/>
          <w:rFonts w:ascii="Times New Roman" w:hAnsi="Times New Roman"/>
          <w:lang w:val="en-US"/>
        </w:rPr>
      </w:r>
    </w:p>
    <w:p>
      <w:pPr>
        <w:pStyle w:val="style0"/>
        <w:jc w:val="both"/>
        <w:spacing w:after="120" w:before="0"/>
      </w:pPr>
      <w:r>
        <w:rPr>
          <w:sz w:val="24"/>
          <w:b/>
          <w:szCs w:val="24"/>
          <w:rFonts w:ascii="Times New Roman" w:hAnsi="Times New Roman"/>
          <w:lang w:val="en-US"/>
        </w:rPr>
        <w:t>Introdução</w:t>
      </w:r>
    </w:p>
    <w:p>
      <w:pPr>
        <w:pStyle w:val="style0"/>
        <w:jc w:val="both"/>
      </w:pPr>
      <w:r>
        <w:rPr>
          <w:sz w:val="24"/>
          <w:b/>
          <w:szCs w:val="24"/>
          <w:rFonts w:ascii="Times New Roman" w:hAnsi="Times New Roman"/>
          <w:lang w:val="en-US"/>
        </w:rPr>
      </w:r>
    </w:p>
    <w:p>
      <w:pPr>
        <w:pStyle w:val="style0"/>
        <w:jc w:val="both"/>
        <w:ind w:firstLine="851" w:left="0" w:right="0"/>
        <w:spacing w:line="360" w:lineRule="atLeast"/>
      </w:pPr>
      <w:r>
        <w:rPr>
          <w:sz w:val="24"/>
          <w:szCs w:val="24"/>
          <w:rFonts w:ascii="Times New Roman" w:hAnsi="Times New Roman"/>
        </w:rPr>
        <w:t xml:space="preserve">Do final do século XIX ao início do século XX, o Exército Brasileiro (EB) promoveu a expansão e a descentralização do ensino militar. Nesse recorte, existiram várias escolas destinadas à formação de oficiais, com destaque para a Escola Militar do Ceará, a Escola Militar da Praia Vermelha (Rio de Janeiro) e a Escola Militar de Porto Alegre. </w:t>
      </w:r>
    </w:p>
    <w:p>
      <w:pPr>
        <w:pStyle w:val="style0"/>
        <w:jc w:val="both"/>
        <w:ind w:firstLine="851" w:left="0" w:right="0"/>
        <w:spacing w:line="360" w:lineRule="atLeast"/>
      </w:pPr>
      <w:r>
        <w:rPr>
          <w:sz w:val="24"/>
          <w:szCs w:val="24"/>
          <w:rFonts w:ascii="Times New Roman" w:hAnsi="Times New Roman"/>
        </w:rPr>
        <w:t>No recorte temporal destacado, o ensino nas escolas militares do EB sofreu várias reformas marcadas pelo embate entre o saber científico (formação intelectual) e o saber profissional (militar). O tipo de educação constituída nesse período foi influenciado por vários fatores, como as correntes de pensamento que chegavam da Europa, o papel dos militares na transição para a República, e a necessidade de “modernizar” a educação militar. Ao mesmo tempo, os alunos das escolas militares foram personagens ativos na construção de saberes que estavam, em boa parte, além das práticas curriculares institucionalmente previstas. Isso se dava, seja exercendo atividades intelectuais (em jornais, revistas, teatros), seja participando de movimentos políticos (por exemplo, na deposição de presidentes de Estado contrários a Floriano Peixoto), seja se apropriando do papel de soldado-cidadão em voga à época.</w:t>
      </w:r>
    </w:p>
    <w:p>
      <w:pPr>
        <w:pStyle w:val="style0"/>
        <w:jc w:val="both"/>
        <w:ind w:firstLine="851" w:left="0" w:right="0"/>
        <w:spacing w:line="360" w:lineRule="atLeast"/>
      </w:pPr>
      <w:r>
        <w:rPr>
          <w:sz w:val="24"/>
          <w:szCs w:val="24"/>
          <w:rFonts w:ascii="Times New Roman" w:hAnsi="Times New Roman"/>
        </w:rPr>
        <w:t>Assim, o objetivo deste trabalho é investigar a formação de oficiais nas escolas militares do EB, no período de 1889 a 1905, a partir de experiências cotidianas protagonizadas pelos alunos, mas não previstas nos regulamentos e currículos formais.</w:t>
      </w:r>
    </w:p>
    <w:p>
      <w:pPr>
        <w:pStyle w:val="style0"/>
        <w:jc w:val="both"/>
        <w:spacing w:line="360" w:lineRule="atLeast"/>
      </w:pPr>
      <w:r>
        <w:rPr>
          <w:sz w:val="24"/>
          <w:szCs w:val="24"/>
          <w:rFonts w:ascii="Times New Roman" w:hAnsi="Times New Roman"/>
        </w:rPr>
      </w:r>
    </w:p>
    <w:p>
      <w:pPr>
        <w:pStyle w:val="style0"/>
        <w:jc w:val="both"/>
        <w:spacing w:line="360" w:lineRule="atLeast"/>
      </w:pPr>
      <w:r>
        <w:rPr>
          <w:sz w:val="24"/>
          <w:b/>
          <w:szCs w:val="24"/>
          <w:rFonts w:ascii="Times New Roman" w:hAnsi="Times New Roman"/>
        </w:rPr>
        <w:t>Currículo, modernidade e cotidiano</w:t>
      </w:r>
    </w:p>
    <w:p>
      <w:pPr>
        <w:pStyle w:val="style0"/>
        <w:jc w:val="both"/>
        <w:ind w:firstLine="709" w:left="0" w:right="0"/>
        <w:spacing w:line="360" w:lineRule="atLeast"/>
      </w:pPr>
      <w:r>
        <w:rPr>
          <w:sz w:val="24"/>
          <w:szCs w:val="24"/>
          <w:rFonts w:ascii="Times New Roman" w:hAnsi="Times New Roman"/>
        </w:rPr>
        <w:t xml:space="preserve">O currículo escolar pode ser concretizado tanto de uma maneira explícita e formal, quanto de uma maneira implícita e de caráter informal. Na educação, além dos aspectos cognitivos e físicos, existe o desenvolvimento social, interpessoal e afetivo dos alunos. Esse desenvolvimento, em geral, não se dá por meio do currículo formal, mas, sim, por meio do currículo oculto, definido pelo clima organizacional da escola, seus modos de comportamento, costumes, valores, disciplina, e outros aspectos. </w:t>
      </w:r>
    </w:p>
    <w:p>
      <w:pPr>
        <w:pStyle w:val="style0"/>
        <w:jc w:val="both"/>
        <w:ind w:firstLine="709" w:left="0" w:right="0"/>
        <w:spacing w:line="360" w:lineRule="atLeast"/>
      </w:pPr>
      <w:r>
        <w:rPr>
          <w:sz w:val="24"/>
          <w:szCs w:val="24"/>
          <w:rFonts w:ascii="Times New Roman" w:hAnsi="Times New Roman"/>
          <w:lang w:eastAsia="pt-BR"/>
        </w:rPr>
        <w:t xml:space="preserve">Segundo </w:t>
      </w:r>
      <w:r>
        <w:rPr>
          <w:sz w:val="24"/>
          <w:szCs w:val="24"/>
          <w:rFonts w:ascii="Times New Roman" w:hAnsi="Times New Roman"/>
        </w:rPr>
        <w:t>Philip Jackson (1990)</w:t>
      </w:r>
      <w:r>
        <w:rPr>
          <w:sz w:val="24"/>
          <w:szCs w:val="24"/>
          <w:rFonts w:ascii="Times New Roman" w:hAnsi="Times New Roman"/>
          <w:lang w:eastAsia="pt-BR"/>
        </w:rPr>
        <w:t>, o que o aluno aprende na escola não é somente o que aparece nos documentos curriculares mas, também, algo mais complexo, como o conjunto de regras e normas que regem a vida escolar, os sentimentos e as formas de expressá-los, os valores, as formas de comportamento e de adaptação aos distintos ambientes. Estas aprendizagens, que não aparecem explicitamente declaradas nos currículos, denominar-se-iam de currículo oculto. No caso das antigas escolas militares em tela, parece-nos que boa parte das ações estudantis e da própria formação dos alunos deu-se no âmbito do currículo oculto.</w:t>
      </w:r>
    </w:p>
    <w:p>
      <w:pPr>
        <w:pStyle w:val="style0"/>
        <w:jc w:val="both"/>
        <w:ind w:firstLine="851" w:left="0" w:right="0"/>
        <w:spacing w:line="360" w:lineRule="atLeast"/>
      </w:pPr>
      <w:r>
        <w:rPr>
          <w:sz w:val="24"/>
          <w:szCs w:val="24"/>
          <w:rFonts w:ascii="Times New Roman" w:hAnsi="Times New Roman"/>
        </w:rPr>
        <w:t>Grosso modo, os currículos formais previam que as escolas militares deveriam ter gabinetes de física e de química, coleção de mineralogia, estrutura para ginástica, natação e equitação e, além disso, equipamentos para trabalhos topográficos, telegráficos, telefônicos e aerostáticos, bem como um campo de exercícios e linha de tiro. Armamentos e munições de guerra deveriam existir para os exercícios militares das três armas, ou seja, infantaria, cavalaria e artilharia. Ainda estavam previstas nas dependências das escolas alojamentos para os alunos e oficinas de carpintaria, ferraria e armaria.</w:t>
      </w:r>
    </w:p>
    <w:p>
      <w:pPr>
        <w:pStyle w:val="style0"/>
        <w:jc w:val="both"/>
        <w:ind w:firstLine="851" w:left="0" w:right="0"/>
        <w:spacing w:line="360" w:lineRule="atLeast"/>
      </w:pPr>
      <w:r>
        <w:rPr>
          <w:sz w:val="24"/>
          <w:szCs w:val="24"/>
          <w:rFonts w:ascii="Times New Roman" w:hAnsi="Times New Roman"/>
        </w:rPr>
        <w:t>Quanto às bibliotecas, a orientação eram que contivessem livros, mapas, cartas, revistas e outros trabalhos que pudessem interessar à instrução militar. Dava-se especial atenção às publicações que trouxessem assuntos previstos nos currículos e, também, memórias, descrições, relatórios, resultados de experiências, observações e estudos de assuntos militares ou sobre as “ciências” ensinadas nessas escolas. Dever-se-ia ainda valorizar publicações sobre a história militar brasileira.</w:t>
      </w:r>
    </w:p>
    <w:p>
      <w:pPr>
        <w:pStyle w:val="style0"/>
        <w:jc w:val="both"/>
        <w:ind w:firstLine="851" w:left="0" w:right="0"/>
        <w:spacing w:line="360" w:lineRule="atLeast"/>
      </w:pPr>
      <w:r>
        <w:rPr>
          <w:sz w:val="24"/>
          <w:szCs w:val="24"/>
          <w:rFonts w:ascii="Times New Roman" w:hAnsi="Times New Roman"/>
        </w:rPr>
        <w:t>Ao que parece, entretanto, nem sempre as instalações das escolas militares eram tão completas assim. E isso, de alguma forma, influenciou as ações dos alunos (conhecidos, também, como “cadetes”). A Escola Militar do Ceará, por exemplo, não tinha alojamento para todos os alunos e funcionou em regime de externato. Ao que parece, tal condição ampliou em muito o contato dos alunos com os munícipes e os atritos entre os dois grupos. O escritor cearense Raimundo de Menezes, na reveladora crônica “Diabruras dos cadetes”, conta-nos que dentro do panorama provinciano de Fortaleza, a Escola Militar do Ceará proporcionou um crescimento material e intelectual. Mas, escreve também que os alunos eram “moços estudantes”, vindos de várias regiões do país, morando em “repúblicas” pela cidade, e que à noite “</w:t>
      </w:r>
      <w:r>
        <w:rPr>
          <w:sz w:val="24"/>
          <w:szCs w:val="24"/>
          <w:iCs/>
          <w:rFonts w:ascii="Times New Roman" w:hAnsi="Times New Roman"/>
        </w:rPr>
        <w:t>praticavam as estripulias mais incríveis e absurdas</w:t>
      </w:r>
      <w:r>
        <w:rPr>
          <w:sz w:val="24"/>
          <w:szCs w:val="24"/>
          <w:rFonts w:ascii="Times New Roman" w:hAnsi="Times New Roman"/>
        </w:rPr>
        <w:t>”. (MENEZES, 1977, p. 67-69).</w:t>
      </w:r>
    </w:p>
    <w:p>
      <w:pPr>
        <w:pStyle w:val="style0"/>
        <w:jc w:val="both"/>
        <w:ind w:firstLine="851" w:left="0" w:right="0"/>
        <w:spacing w:line="360" w:lineRule="atLeast"/>
      </w:pPr>
      <w:r>
        <w:rPr>
          <w:sz w:val="24"/>
          <w:szCs w:val="24"/>
          <w:rFonts w:ascii="Times New Roman" w:hAnsi="Times New Roman"/>
        </w:rPr>
        <w:t>Em geral o acesso ao oficialato (ensino superior) era por meio do preparatório, curso de três anos oferecido nas próprias escolas militares. O candidato (civil ou militar) à matrícula no preparatório deveria ter entre 15 e 21 anos, assentar voluntariamente praça no Exército, saber ler e escrever corretamente em Português, dominar as quatro operações matemáticas, passar pela inspeção de saúde e apresentar atestados assinados por professores ou comandantes que comprovassem terem esses candidatos bom comportamento e aptidão para a vida militar. Por fim, após cumprir esses critérios, precisava-se obter licença do Ministério da Guerra para a matrícula.</w:t>
      </w:r>
    </w:p>
    <w:p>
      <w:pPr>
        <w:pStyle w:val="style0"/>
        <w:jc w:val="both"/>
        <w:ind w:firstLine="851" w:left="0" w:right="0"/>
        <w:spacing w:line="360" w:lineRule="atLeast"/>
      </w:pPr>
      <w:r>
        <w:rPr>
          <w:sz w:val="24"/>
          <w:szCs w:val="24"/>
          <w:rFonts w:ascii="Times New Roman" w:hAnsi="Times New Roman"/>
        </w:rPr>
        <w:t xml:space="preserve">O currículo do curso preparatório contemplava Aritmética, Álgebra, Geometria, Desenho, Francês e Inglês, no primeiro ano; Geometria, Trigonometria, Literatura brasileira, Francês, Geografia, História antiga e medieval, no segundo ano; e Álgebra, Geometria descritiva, Noções de Ciências (Física, Química, Mineralogia, Geologia, Zoologia, Botânica), Topografia, Legislação de terras, Geografia, História moderna e contemporânea, História do Brasil, no terceiro ano. Aprovados no curso preparatório e tendo obtido boas notas em determinadas matérias os alunos recebiam o título de agrimensor. </w:t>
      </w:r>
    </w:p>
    <w:p>
      <w:pPr>
        <w:pStyle w:val="style0"/>
        <w:jc w:val="both"/>
        <w:ind w:firstLine="851" w:left="0" w:right="0"/>
        <w:spacing w:line="360" w:lineRule="atLeast"/>
      </w:pPr>
      <w:r>
        <w:rPr>
          <w:sz w:val="24"/>
          <w:szCs w:val="24"/>
          <w:rFonts w:ascii="Times New Roman" w:hAnsi="Times New Roman"/>
        </w:rPr>
        <w:t>Após obter aprovação no curso preparatório, o aluno podia automaticamente matricular-se nos cursos de Infantaria e Cavalaria. Não obstante, havia alternativas para ingressar diretamente nesses cursos. Uma delas era o candidato apresentar certificado que comprovasse aprovação para escolas superiores do Império. Nesse caso, porém, o candidato precisava submeter-se a alguns testes e enfrentar um ano de exercícios práticos na respectiva Escola Militar.</w:t>
      </w:r>
    </w:p>
    <w:p>
      <w:pPr>
        <w:pStyle w:val="style0"/>
        <w:jc w:val="both"/>
        <w:ind w:firstLine="851" w:left="0" w:right="0"/>
        <w:spacing w:line="360" w:lineRule="atLeast"/>
      </w:pPr>
      <w:r>
        <w:rPr>
          <w:sz w:val="24"/>
          <w:szCs w:val="24"/>
          <w:rFonts w:ascii="Times New Roman" w:hAnsi="Times New Roman"/>
        </w:rPr>
        <w:t>O currículo dos cursos de Infantaria e Cavalaria contemplava, no primeiro ano: Geometria geral, Noções de mecânica, Balística elementar, Física, Meteorologia, Geometria descritiva. O currículo do segundo ano previa: Tática, Estratégia, Castrametação, Fortificações, Entrincheiramento de praças de guerra, Hipologia, Higiene militar, Direito internacional e Direito militar, precedidos de direito natural, público e constitucional brasileiro. Ainda no segundo ano, os alunos deveriam estudar História militar, compreendendo os principais fatos referentes aos diversos ramos da guerra, bem como a análise das campanhas consideradas mais notáveis desde Aníbal até as batalhas contemporâneas, incluindo as guerras em que o Brasil se envolveu antes e depois da Independência. Especial atenção deveria ser dada à história da guerra contra o Paraguai.</w:t>
      </w:r>
    </w:p>
    <w:p>
      <w:pPr>
        <w:pStyle w:val="style0"/>
        <w:jc w:val="both"/>
        <w:ind w:firstLine="851" w:left="0" w:right="0"/>
        <w:spacing w:line="360" w:lineRule="atLeast"/>
      </w:pPr>
      <w:r>
        <w:rPr>
          <w:sz w:val="24"/>
          <w:szCs w:val="24"/>
          <w:rFonts w:ascii="Times New Roman" w:hAnsi="Times New Roman"/>
        </w:rPr>
        <w:t>O ano letivo nas Escolas Militares transcorria de março a outubro e as aulas, em geral, tinham a duração de uma hora a uma hora e meia, com exceção das aulas de Desenho, com duas horas. Exercícios físicos deveriam ser limitados a duas horas. Já os exercícios de topografia, marchas, atividades de campo e visitas a estabelecimentos militares deveriam ocorrer uma vez por semana ocupando todo o dia.</w:t>
      </w:r>
    </w:p>
    <w:p>
      <w:pPr>
        <w:pStyle w:val="style0"/>
        <w:jc w:val="both"/>
        <w:ind w:firstLine="851" w:left="0" w:right="0"/>
        <w:spacing w:line="360" w:lineRule="atLeast"/>
      </w:pPr>
      <w:r>
        <w:rPr>
          <w:sz w:val="24"/>
          <w:szCs w:val="24"/>
          <w:rFonts w:ascii="Times New Roman" w:hAnsi="Times New Roman"/>
        </w:rPr>
        <w:t xml:space="preserve">Os alunos ficavam divididos em grupos chamados companhias, por sua vez, subordinadas diretamente ao comandante da escola. Cabia a um capitão o comando da companhia da qual também faziam parte dois tenentes, um sargento, dois corneteiros e seis alunos sargenteantes que tinham funções administrativas. </w:t>
      </w:r>
    </w:p>
    <w:p>
      <w:pPr>
        <w:pStyle w:val="style0"/>
        <w:jc w:val="both"/>
        <w:ind w:firstLine="851" w:left="0" w:right="0"/>
        <w:spacing w:after="120" w:before="0" w:line="360" w:lineRule="atLeast"/>
      </w:pPr>
      <w:r>
        <w:rPr>
          <w:sz w:val="24"/>
          <w:szCs w:val="24"/>
          <w:rFonts w:ascii="Times New Roman" w:hAnsi="Times New Roman"/>
        </w:rPr>
        <w:t>Segundo autores que estudaram a Escola Militar do Rio de Janeiro (CARVALHO, 1985; CASTRO, 1995; MACCANN, 2009; MOTTA, 1998) e a Escola Militar de Porto Alegre (MEDEIROS, 1992), havia nesses estabelecimentos de ensino, em fins do século XIX, uma grande discordância quanto à composição curricular, bem como ao tipo de saber a ser construído: científico (baseado nas sete ciências comtistas) ou militar (baseado no preparo para a guerra).</w:t>
      </w:r>
    </w:p>
    <w:p>
      <w:pPr>
        <w:pStyle w:val="style0"/>
        <w:jc w:val="both"/>
        <w:ind w:firstLine="851" w:left="0" w:right="0"/>
        <w:spacing w:line="360" w:lineRule="atLeast"/>
      </w:pPr>
      <w:r>
        <w:rPr>
          <w:sz w:val="24"/>
          <w:szCs w:val="24"/>
          <w:rFonts w:ascii="Times New Roman" w:hAnsi="Times New Roman"/>
        </w:rPr>
        <w:t xml:space="preserve">No final do século XIX e início do século XX, ocorreram muitas reformas educacionais no Exército, tentando equalizar o ensino teórico (científico) e o prático (militar) nos currículos das Escolas Militares. Essas propostas pedagógicas eram transpassadas por relações conflituosas entre “bacharéis” (oficiais formados pelas Escolas Militares) e “tarimbeiros” (oficiais cuja formação era baseada na experiência militar), influenciadas, por sua vez, por um contexto histórico marcado por conflitos externos, como a Guerra do Paraguai, e internos, como a Questão Militar. De acordo com Jehovah Motta, essa dosagem entre o saber científico e o saber militar foi “a grande questão sempre levantada e nunca resolvida pela Academia militar em mais de cem anos de vida” (MOTTA, 1998, p. 175). </w:t>
      </w:r>
    </w:p>
    <w:p>
      <w:pPr>
        <w:pStyle w:val="style0"/>
        <w:jc w:val="both"/>
        <w:ind w:firstLine="851" w:left="0" w:right="0"/>
        <w:spacing w:line="360" w:lineRule="atLeast"/>
      </w:pPr>
      <w:r>
        <w:rPr>
          <w:sz w:val="24"/>
          <w:szCs w:val="24"/>
          <w:rFonts w:ascii="Times New Roman" w:hAnsi="Times New Roman"/>
          <w:lang w:val="pt-PT"/>
        </w:rPr>
        <w:t>N</w:t>
      </w:r>
      <w:r>
        <w:rPr>
          <w:sz w:val="24"/>
          <w:szCs w:val="24"/>
          <w:rFonts w:ascii="Times New Roman" w:hAnsi="Times New Roman"/>
        </w:rPr>
        <w:t xml:space="preserve">o caso da Escola Militar do Ceará (EMC), “foco de  irradiação de ideias comtianas” (LINS, 1964, p. 118), um dos reflexos dessa proposta de educação mais teórica do que prática foi a participação dos alunos nas atividades políticas, como a deposição de Clarindo de Queiroz, em 1892, e também nas atividades literárias cearenses ao longo da década de 1890, fecunda para a história do Ceará. A Academia Cearense de Letras, a Padaria Espiritual e o Centro Literário, entre outros, datam daquele período. Alunos da EMC fundaram várias publicações, como os jornais </w:t>
      </w:r>
      <w:r>
        <w:rPr>
          <w:sz w:val="24"/>
          <w:i/>
          <w:szCs w:val="24"/>
          <w:rFonts w:ascii="Times New Roman" w:hAnsi="Times New Roman"/>
        </w:rPr>
        <w:t>Silva Jardim</w:t>
      </w:r>
      <w:r>
        <w:rPr>
          <w:sz w:val="24"/>
          <w:szCs w:val="24"/>
          <w:rFonts w:ascii="Times New Roman" w:hAnsi="Times New Roman"/>
        </w:rPr>
        <w:t xml:space="preserve"> e </w:t>
      </w:r>
      <w:r>
        <w:rPr>
          <w:sz w:val="24"/>
          <w:i/>
          <w:szCs w:val="24"/>
          <w:rFonts w:ascii="Times New Roman" w:hAnsi="Times New Roman"/>
        </w:rPr>
        <w:t>Athleta</w:t>
      </w:r>
      <w:r>
        <w:rPr>
          <w:sz w:val="24"/>
          <w:szCs w:val="24"/>
          <w:rFonts w:ascii="Times New Roman" w:hAnsi="Times New Roman"/>
        </w:rPr>
        <w:t xml:space="preserve">; e as revistas </w:t>
      </w:r>
      <w:r>
        <w:rPr>
          <w:sz w:val="24"/>
          <w:i/>
          <w:szCs w:val="24"/>
          <w:rFonts w:ascii="Times New Roman" w:hAnsi="Times New Roman"/>
        </w:rPr>
        <w:t>Primeiro de Maio</w:t>
      </w:r>
      <w:r>
        <w:rPr>
          <w:sz w:val="24"/>
          <w:szCs w:val="24"/>
          <w:rFonts w:ascii="Times New Roman" w:hAnsi="Times New Roman"/>
        </w:rPr>
        <w:t xml:space="preserve">; </w:t>
      </w:r>
      <w:r>
        <w:rPr>
          <w:sz w:val="24"/>
          <w:i/>
          <w:szCs w:val="24"/>
          <w:rFonts w:ascii="Times New Roman" w:hAnsi="Times New Roman"/>
        </w:rPr>
        <w:t>Evolução</w:t>
      </w:r>
      <w:r>
        <w:rPr>
          <w:sz w:val="24"/>
          <w:szCs w:val="24"/>
          <w:rFonts w:ascii="Times New Roman" w:hAnsi="Times New Roman"/>
        </w:rPr>
        <w:t xml:space="preserve"> e </w:t>
      </w:r>
      <w:r>
        <w:rPr>
          <w:sz w:val="24"/>
          <w:i/>
          <w:szCs w:val="24"/>
          <w:rFonts w:ascii="Times New Roman" w:hAnsi="Times New Roman"/>
        </w:rPr>
        <w:t>Pequena Revista</w:t>
      </w:r>
      <w:r>
        <w:rPr>
          <w:sz w:val="24"/>
          <w:szCs w:val="24"/>
          <w:rFonts w:ascii="Times New Roman" w:hAnsi="Times New Roman"/>
        </w:rPr>
        <w:t xml:space="preserve">.  </w:t>
      </w:r>
    </w:p>
    <w:p>
      <w:pPr>
        <w:pStyle w:val="style0"/>
        <w:jc w:val="both"/>
        <w:ind w:firstLine="851" w:left="0" w:right="0"/>
        <w:spacing w:line="360" w:lineRule="atLeast"/>
      </w:pPr>
      <w:r>
        <w:rPr>
          <w:sz w:val="24"/>
          <w:szCs w:val="24"/>
          <w:rFonts w:ascii="Times New Roman" w:hAnsi="Times New Roman"/>
        </w:rPr>
        <w:t>Os jornais e revistas publicados pelos alunos da Escola Militar do Ceará eram remetidos para o “interior” (cidades do Ceará), “exterior” (outros estados do Brasil) e demais escolas militares do Brasil, como a Escola Militar de Porto Alegre, foco de “desenvolvimento da vida intelectual do Rio Grande” (MEDEIROS, 1992, p. 72-73). Essas práticas de produção escrita não estavam previstas nos currículos formais. Entretanto, tinham um papel importante na formação dos alunos, na medida em que contribuíam para a circularidade de ideias entre os estudantes das escolas militares do país e motivava debates sobre correntes de pensamento como republicanismo, positivismo, evolucionismo, crítica religiosa, enfim, “um bando de ideias novas”, como registrou Sílvio Romero (</w:t>
      </w:r>
      <w:r>
        <w:rPr>
          <w:sz w:val="24"/>
          <w:i/>
          <w:szCs w:val="24"/>
          <w:rFonts w:ascii="Times New Roman" w:hAnsi="Times New Roman"/>
        </w:rPr>
        <w:t>apud</w:t>
      </w:r>
      <w:r>
        <w:rPr>
          <w:sz w:val="24"/>
          <w:szCs w:val="24"/>
          <w:rFonts w:ascii="Times New Roman" w:hAnsi="Times New Roman"/>
        </w:rPr>
        <w:t xml:space="preserve"> MOTTA, 1998, p. 145). </w:t>
      </w:r>
    </w:p>
    <w:p>
      <w:pPr>
        <w:pStyle w:val="style0"/>
        <w:jc w:val="both"/>
        <w:ind w:firstLine="851" w:left="0" w:right="0"/>
        <w:spacing w:line="360" w:lineRule="atLeast"/>
      </w:pPr>
      <w:r>
        <w:rPr>
          <w:sz w:val="24"/>
          <w:szCs w:val="24"/>
          <w:rFonts w:ascii="Times New Roman" w:hAnsi="Times New Roman"/>
        </w:rPr>
        <w:t xml:space="preserve">Em geral, essas “ideias novas” eram bem aceitas na caserna. O positivismo comtiano – que defendia a ciência como instrumento para trazer benefícios reais (progresso) à humanidade e que valorizava o papel do soldado cidadão nos destinos do país – era bem recebido num Exército pós Guerra do Paraguai, no qual predominava um inconformismo técnico, profissional e político. O evolucionismo spenceriano – que defendia ideias de seleção natural e de sobrevivência do mais capaz – era muito bem recebido dentro das escolas militares, nas quais predominava o princípio da meritocracia. </w:t>
      </w:r>
    </w:p>
    <w:p>
      <w:pPr>
        <w:pStyle w:val="style0"/>
        <w:jc w:val="both"/>
        <w:ind w:firstLine="851" w:left="0" w:right="0"/>
        <w:spacing w:line="360" w:lineRule="atLeast"/>
      </w:pPr>
      <w:r>
        <w:rPr>
          <w:sz w:val="24"/>
          <w:szCs w:val="24"/>
          <w:rFonts w:ascii="Times New Roman" w:hAnsi="Times New Roman"/>
        </w:rPr>
        <w:t>Segundo Celso Castro (1995, p. 45), “o princípio do mérito não tinha uma existência apenas ideal; materializava-se no título de ‘alferes-aluno’, exclusivo dos alunos da Escola Militar que se destacassem nos anos iniciais do curso”. Importante destacar que a promoção à alferes-aluno implicava não apenas num reconhecimento social, o que podia ser notado inclusive no uso diferenciado do uniforme; implicava também num considerável aumento dos vencimentos, o que fazia grande diferença pois os discentes geralmente vinham de famílias com poucos recursos para custear os estudos dos filhos.</w:t>
      </w:r>
    </w:p>
    <w:p>
      <w:pPr>
        <w:pStyle w:val="style0"/>
        <w:jc w:val="both"/>
        <w:ind w:firstLine="851" w:left="0" w:right="0"/>
        <w:spacing w:line="360" w:lineRule="atLeast"/>
      </w:pPr>
      <w:r>
        <w:rPr>
          <w:sz w:val="24"/>
          <w:szCs w:val="24"/>
          <w:rFonts w:ascii="Times New Roman" w:hAnsi="Times New Roman"/>
        </w:rPr>
        <w:t xml:space="preserve">A adesão a certas correntes de pensamento ficava, por exemplo, bastante clara nas publicações dos alunos da Escola Militar do Ceará, não apenas nos textos, que defendiam o “cientificismo” e o “progresso”, mas, também, nos títulos das publicações (por exemplo, Revista </w:t>
      </w:r>
      <w:r>
        <w:rPr>
          <w:sz w:val="24"/>
          <w:i/>
          <w:szCs w:val="24"/>
          <w:rFonts w:ascii="Times New Roman" w:hAnsi="Times New Roman"/>
        </w:rPr>
        <w:t>Evolução</w:t>
      </w:r>
      <w:r>
        <w:rPr>
          <w:sz w:val="24"/>
          <w:szCs w:val="24"/>
          <w:rFonts w:ascii="Times New Roman" w:hAnsi="Times New Roman"/>
        </w:rPr>
        <w:t>); ou, ainda, nas epígrafes da revistas que traziam em sua primeira página citações de Herbert Spencer: “A amor da sciencia é um culto tacito, é o reconhecimento intimo das cousas que se estudam e implicitamente de sua causa (...)” (Revista</w:t>
      </w:r>
      <w:r>
        <w:rPr>
          <w:sz w:val="24"/>
          <w:i/>
          <w:szCs w:val="24"/>
          <w:rFonts w:ascii="Times New Roman" w:hAnsi="Times New Roman"/>
        </w:rPr>
        <w:t xml:space="preserve"> Primeiro de Maio</w:t>
      </w:r>
      <w:r>
        <w:rPr>
          <w:sz w:val="24"/>
          <w:szCs w:val="24"/>
          <w:rFonts w:ascii="Times New Roman" w:hAnsi="Times New Roman"/>
        </w:rPr>
        <w:t xml:space="preserve">, jun., 1891). Além do positivismo e do evolucionismo, que empolgaram alunos (e professores) das escolas militares, inspiraram currículos e motivaram maior participação política, outro ideal presente nessas instituições de ensino foi a da modernidade. </w:t>
      </w:r>
    </w:p>
    <w:p>
      <w:pPr>
        <w:pStyle w:val="style0"/>
        <w:jc w:val="both"/>
        <w:ind w:firstLine="851" w:left="0" w:right="0"/>
        <w:spacing w:line="360" w:lineRule="atLeast"/>
      </w:pPr>
      <w:r>
        <w:rPr>
          <w:sz w:val="24"/>
          <w:szCs w:val="24"/>
          <w:rFonts w:ascii="Times New Roman" w:hAnsi="Times New Roman"/>
          <w:lang w:val="pt-PT"/>
        </w:rPr>
        <w:t xml:space="preserve">Ao que parece, a noção de “modernidade” era transpassada pela ideia de um soldado como cidadão armado e consciente de sua “missão” nos destinos de um país que enfrentava a crise monárquica. Na iminência republicana, era para o Exército que se voltavam os olhares. Nesse sentido é que os ideais de </w:t>
      </w:r>
      <w:r>
        <w:rPr>
          <w:sz w:val="24"/>
          <w:szCs w:val="24"/>
          <w:rFonts w:ascii="Times New Roman" w:hAnsi="Times New Roman"/>
        </w:rPr>
        <w:t xml:space="preserve">“progresso” e de “modernidade” na Fortaleza de fins do século XIX por vezes foram defendidos por uma corrente política e ideológica afinada com os positivistas militares, o que ganhou relevo com a proclamação da República, em novembro de 1889. Segundo Almir Leal de Oliveira, essa aproximação ficou evidenciada, por exemplo, com o culto cívico à memória do general Tibúrcio Ferreira de Souza, que representava o “soldado-cidadão, responsável por uma missão científico-civilizatória” (OLIVEIRA, 2001, p. 238). </w:t>
      </w:r>
    </w:p>
    <w:p>
      <w:pPr>
        <w:pStyle w:val="style0"/>
        <w:jc w:val="both"/>
        <w:ind w:firstLine="851" w:left="0" w:right="0"/>
        <w:spacing w:line="360" w:lineRule="atLeast"/>
      </w:pPr>
      <w:r>
        <w:rPr>
          <w:sz w:val="24"/>
          <w:szCs w:val="24"/>
          <w:rFonts w:ascii="Times New Roman" w:hAnsi="Times New Roman"/>
          <w:lang w:val="pt-PT"/>
        </w:rPr>
        <w:t>Celso Castro (1995), em seu estudo sobre a participação dos militares na proclamação da República, entende “moderno” como a afirmação de valores e a implementação de práticas ligadas ao individualismo, à disciplina, à racionalidade, à organização burocrática e ao mérito. Por outro lado,</w:t>
      </w:r>
      <w:r>
        <w:rPr>
          <w:sz w:val="24"/>
          <w:szCs w:val="24"/>
          <w:rFonts w:ascii="Times New Roman" w:hAnsi="Times New Roman"/>
        </w:rPr>
        <w:t xml:space="preserve"> </w:t>
      </w:r>
      <w:r>
        <w:rPr>
          <w:sz w:val="24"/>
          <w:szCs w:val="24"/>
          <w:rFonts w:ascii="Times New Roman" w:hAnsi="Times New Roman"/>
          <w:lang w:val="pt-PT"/>
        </w:rPr>
        <w:t>Rui Martinho Rodrigues (2008) defende que, por exemplo, o moderno teria sentido de um novo que rompe com o passado e que se apresenta como algo que lhe é superior</w:t>
      </w:r>
      <w:r>
        <w:rPr>
          <w:sz w:val="24"/>
          <w:szCs w:val="24"/>
          <w:rFonts w:ascii="Times New Roman" w:hAnsi="Times New Roman"/>
        </w:rPr>
        <w:t xml:space="preserve">. Para Jacques Lê Goff (1992, p. 169), </w:t>
      </w:r>
      <w:r>
        <w:rPr>
          <w:sz w:val="24"/>
          <w:szCs w:val="24"/>
          <w:rFonts w:ascii="Times New Roman" w:eastAsia="Times New Roman" w:hAnsi="Times New Roman"/>
          <w:lang w:eastAsia="pt-BR"/>
        </w:rPr>
        <w:t xml:space="preserve">“a consciência da modernidade nasce do sentimento de ruptura com o passado”. </w:t>
      </w:r>
    </w:p>
    <w:p>
      <w:pPr>
        <w:pStyle w:val="style0"/>
        <w:jc w:val="both"/>
        <w:ind w:firstLine="851" w:left="0" w:right="0"/>
        <w:spacing w:line="360" w:lineRule="atLeast"/>
      </w:pPr>
      <w:r>
        <w:rPr>
          <w:sz w:val="24"/>
          <w:szCs w:val="24"/>
          <w:rFonts w:ascii="Times New Roman" w:hAnsi="Times New Roman"/>
        </w:rPr>
        <w:t xml:space="preserve">Diante dessas considerações, é possível pensar as ações políticas dos alunos como geradoras de um posicionamento que os colocava afastados de um passado recente (Brasil monárquico, escravista, agrário) e voltados para um futuro onde predominariam os ideais republicanos de progresso, de cuidado com a coisa pública, de modernidade, incluindo-se aí até mesmo uma formação científica em detrimento de uma formação militar (na linha bélica) nas escolas militares. Nesse sentido é que se faziam tão bem aceitos os ideais republicanos dentro dos estabelecimentos militares de ensino, como rememora Tasso Fragoso, referindo-se ao seu tempo de aluno da Escola Militar da Praia Vermelha: </w:t>
      </w:r>
    </w:p>
    <w:p>
      <w:pPr>
        <w:pStyle w:val="style0"/>
        <w:jc w:val="both"/>
        <w:ind w:firstLine="851" w:left="0" w:right="0"/>
        <w:spacing w:line="360" w:lineRule="atLeast"/>
      </w:pPr>
      <w:r>
        <w:rPr>
          <w:sz w:val="24"/>
          <w:szCs w:val="24"/>
          <w:rFonts w:ascii="Times New Roman" w:hAnsi="Times New Roman"/>
        </w:rPr>
      </w:r>
    </w:p>
    <w:p>
      <w:pPr>
        <w:pStyle w:val="style0"/>
        <w:jc w:val="both"/>
        <w:ind w:hanging="0" w:left="2268" w:right="0"/>
      </w:pPr>
      <w:r>
        <w:rPr>
          <w:rFonts w:ascii="Times New Roman" w:hAnsi="Times New Roman"/>
        </w:rPr>
        <w:t xml:space="preserve">Que era a República para nós? Um regime inspirado no interesse coletivo, em que imperasse a mais completa liberdade espiritual, a mais absoluta honestidade e desinteresse no trato da causa pública e só os competentes fossem escolhidos para as funções sociais. Com a mente cultivada pela ciência e pela leitura de grandes pensadores como Augusto Comte, sonhávamos um regime ideal de ventura humana, sem lugar para as violências e os apetites egoísticos, sem lugar até para nós mesmos, modestos aprendizes da arte da guerra, pois ambicionávamos com Benjamim Constant um futuro de perfeita concórdia internacional. Não se pode avaliar o nosso desprezo pelos que faziam da política um campo de exploração pessoal e se valiam das posições de satisfação exclusiva de sua vaidade ou de suas convivências. Queríamos ver extinta a raça dos que sobem matreira e hipocritamente às culminâncias do poder e uma vez aí esquecem os seus deveres e as promessas formuladas, e não se correm de violar direitos sagrados de seus compatriotas, estorvar-lhes a vida serena, empecer o progresso do país em todos os ramos da sua atividade e afinal desacreditá-lo no estrangeiro. (Tasso Fragoso. In: </w:t>
      </w:r>
      <w:r>
        <w:rPr>
          <w:i/>
          <w:rFonts w:ascii="Times New Roman" w:hAnsi="Times New Roman"/>
        </w:rPr>
        <w:t>História do Exército Brasileiro</w:t>
      </w:r>
      <w:r>
        <w:rPr>
          <w:rFonts w:ascii="Times New Roman" w:hAnsi="Times New Roman"/>
        </w:rPr>
        <w:t xml:space="preserve">, 1972, v. 2, p, 681).  </w:t>
      </w:r>
    </w:p>
    <w:p>
      <w:pPr>
        <w:pStyle w:val="style0"/>
        <w:jc w:val="both"/>
        <w:spacing w:line="360" w:lineRule="atLeast"/>
      </w:pPr>
      <w:r>
        <w:rPr>
          <w:sz w:val="24"/>
          <w:szCs w:val="24"/>
          <w:rFonts w:ascii="Times New Roman" w:hAnsi="Times New Roman"/>
        </w:rPr>
      </w:r>
    </w:p>
    <w:p>
      <w:pPr>
        <w:pStyle w:val="style0"/>
        <w:jc w:val="both"/>
        <w:ind w:firstLine="851" w:left="0" w:right="0"/>
        <w:spacing w:line="360" w:lineRule="atLeast"/>
      </w:pPr>
      <w:r>
        <w:rPr>
          <w:sz w:val="24"/>
          <w:szCs w:val="24"/>
          <w:rFonts w:ascii="Times New Roman" w:hAnsi="Times New Roman"/>
        </w:rPr>
        <w:t xml:space="preserve">Ao mesmo tempo, os currículos das escolas militares não contemplavam explicitamente essas questões. Em outros termos, a formação dos alunos das escolas militares estimulava-lhes um posicionamento intelectualizado, politizado e questionador sem, entretanto, que esse aspecto estivesse previsto nos currículos formais. </w:t>
      </w:r>
    </w:p>
    <w:p>
      <w:pPr>
        <w:pStyle w:val="style0"/>
        <w:jc w:val="both"/>
        <w:ind w:firstLine="851" w:left="0" w:right="0"/>
        <w:spacing w:line="360" w:lineRule="atLeast"/>
      </w:pPr>
      <w:r>
        <w:rPr>
          <w:sz w:val="24"/>
          <w:szCs w:val="24"/>
          <w:rFonts w:ascii="Times New Roman" w:hAnsi="Times New Roman"/>
        </w:rPr>
        <w:t xml:space="preserve">Interligadas à formação política não formal estavam as relações de poder dentro das escolas militares.  Os casos de transgressões disciplinares praticadas pelos alunos </w:t>
      </w:r>
      <w:r>
        <w:rPr>
          <w:sz w:val="24"/>
          <w:szCs w:val="24"/>
          <w:rFonts w:ascii="Times New Roman" w:hAnsi="Times New Roman"/>
          <w:lang w:val="pt-PT"/>
        </w:rPr>
        <w:t>ocorriam quase que diariamente, como foi o caso envolvendo dois militares do efetivo da Escola Militar do Ceará: um capitão e um aluno que acabou punido com vinte dias de prisão.</w:t>
      </w:r>
    </w:p>
    <w:p>
      <w:pPr>
        <w:pStyle w:val="style38"/>
        <w:jc w:val="both"/>
        <w:ind w:firstLine="851" w:left="0" w:right="0"/>
        <w:spacing w:after="0" w:before="28" w:line="360" w:lineRule="atLeast"/>
      </w:pPr>
      <w:r>
        <w:rPr>
          <w:sz w:val="20"/>
          <w:szCs w:val="20"/>
          <w:rFonts w:ascii="Times New Roman" w:hAnsi="Times New Roman"/>
          <w:lang w:val="pt-PT"/>
        </w:rPr>
      </w:r>
    </w:p>
    <w:p>
      <w:pPr>
        <w:pStyle w:val="style38"/>
        <w:jc w:val="both"/>
        <w:ind w:hanging="0" w:left="2268" w:right="0"/>
        <w:spacing w:after="0" w:before="28"/>
      </w:pPr>
      <w:r>
        <w:rPr>
          <w:rFonts w:ascii="Times New Roman" w:hAnsi="Times New Roman"/>
          <w:lang w:val="pt-BR"/>
        </w:rPr>
        <w:t xml:space="preserve">Decio Ontario de Paiva (aluno nº 130). (...) Conforme publicou a ordem do dia Escolar (...) foi preso por 20 dias, pela maneira desatenciosa por que se portou para com um Capitão Oficial de Ordens deste Comando, em um </w:t>
      </w:r>
      <w:r>
        <w:rPr>
          <w:i/>
          <w:rFonts w:ascii="Times New Roman" w:hAnsi="Times New Roman"/>
          <w:lang w:val="pt-BR"/>
        </w:rPr>
        <w:t>bond</w:t>
      </w:r>
      <w:r>
        <w:rPr>
          <w:rFonts w:ascii="Times New Roman" w:hAnsi="Times New Roman"/>
          <w:lang w:val="pt-BR"/>
        </w:rPr>
        <w:t>, não tendo-o cumprimentado, declarando não o ter visto, ficando sentado e fumando, não procurando ao menos desculpar-se dessa falta de dever militar e educação.</w:t>
      </w:r>
      <w:r>
        <w:rPr>
          <w:rStyle w:val="style28"/>
        </w:rPr>
        <w:footnoteReference w:id="2"/>
      </w:r>
    </w:p>
    <w:p>
      <w:pPr>
        <w:pStyle w:val="style38"/>
        <w:jc w:val="both"/>
        <w:ind w:firstLine="851" w:left="0" w:right="0"/>
        <w:spacing w:after="0" w:before="28" w:line="360" w:lineRule="atLeast"/>
      </w:pPr>
      <w:r>
        <w:rPr>
          <w:sz w:val="24"/>
          <w:szCs w:val="24"/>
          <w:rFonts w:ascii="Times New Roman" w:hAnsi="Times New Roman"/>
          <w:lang w:val="pt-PT"/>
        </w:rPr>
      </w:r>
    </w:p>
    <w:p>
      <w:pPr>
        <w:pStyle w:val="style38"/>
        <w:jc w:val="both"/>
        <w:ind w:firstLine="851" w:left="0" w:right="0"/>
        <w:spacing w:after="0" w:before="28" w:line="360" w:lineRule="atLeast"/>
      </w:pPr>
      <w:r>
        <w:rPr>
          <w:sz w:val="24"/>
          <w:szCs w:val="24"/>
          <w:rFonts w:ascii="Times New Roman" w:hAnsi="Times New Roman"/>
          <w:lang w:val="pt-PT"/>
        </w:rPr>
        <w:t>De acordo com as normas (regulamentos) militares, o aluno deveria ter se levantado e cumprimentado o capitão. Mas, a questão ia além disso. Era a palavra do capitão contra a do aluno Decio. Pelos costumes militares da época, creditava-se a “verdade” ao militar hierarquicamente superior, no caso, o capitão. Situações como essa nos levam a pensar quais as “táticas”</w:t>
      </w:r>
      <w:r>
        <w:rPr>
          <w:rStyle w:val="style28"/>
        </w:rPr>
        <w:footnoteReference w:id="3"/>
      </w:r>
      <w:r>
        <w:rPr>
          <w:sz w:val="24"/>
          <w:szCs w:val="24"/>
          <w:rFonts w:ascii="Times New Roman" w:hAnsi="Times New Roman"/>
          <w:lang w:val="pt-PT"/>
        </w:rPr>
        <w:t xml:space="preserve"> que os alunos criavam coditianamente para sobreviverem num mundo marcado por relações sociais bastante hierarquizadas. </w:t>
      </w:r>
    </w:p>
    <w:p>
      <w:pPr>
        <w:pStyle w:val="style0"/>
        <w:jc w:val="both"/>
        <w:ind w:firstLine="851" w:left="0" w:right="0"/>
        <w:spacing w:line="360" w:lineRule="atLeast"/>
      </w:pPr>
      <w:r>
        <w:rPr>
          <w:sz w:val="24"/>
          <w:szCs w:val="24"/>
          <w:rFonts w:ascii="Times New Roman" w:hAnsi="Times New Roman"/>
        </w:rPr>
        <w:t xml:space="preserve">Muitos outros casos apontam essas “diabruras dos cadetes”, como os dos alunos: José Afonso Ramos Garcia, nº 164, excluído do efetivo da Escola por ter-se embriagado, agredido um companheiro e desacatado um oficial do Exército </w:t>
      </w:r>
      <w:r>
        <w:rPr>
          <w:rFonts w:ascii="Times New Roman" w:hAnsi="Times New Roman"/>
        </w:rPr>
        <w:t xml:space="preserve">(AHEx, </w:t>
      </w:r>
      <w:r>
        <w:rPr>
          <w:sz w:val="24"/>
          <w:szCs w:val="24"/>
          <w:rFonts w:ascii="Times New Roman" w:hAnsi="Times New Roman"/>
        </w:rPr>
        <w:t xml:space="preserve">EMC, </w:t>
      </w:r>
      <w:r>
        <w:rPr>
          <w:sz w:val="24"/>
          <w:i/>
          <w:szCs w:val="24"/>
          <w:rFonts w:ascii="Times New Roman" w:hAnsi="Times New Roman"/>
        </w:rPr>
        <w:t>Escalas de Alterações</w:t>
      </w:r>
      <w:r>
        <w:rPr>
          <w:sz w:val="24"/>
          <w:szCs w:val="24"/>
          <w:rFonts w:ascii="Times New Roman" w:hAnsi="Times New Roman"/>
        </w:rPr>
        <w:t xml:space="preserve">, jun., 1896);  Ambrosio Ramos Seabra, nº 85, preso por dez dias porque, durante uma aula, agrediu um colega em sala e ameaçou esbofetear um guarda </w:t>
      </w:r>
      <w:r>
        <w:rPr>
          <w:rFonts w:ascii="Times New Roman" w:hAnsi="Times New Roman"/>
        </w:rPr>
        <w:t xml:space="preserve">(AHEx, </w:t>
      </w:r>
      <w:r>
        <w:rPr>
          <w:sz w:val="24"/>
          <w:szCs w:val="24"/>
          <w:rFonts w:ascii="Times New Roman" w:hAnsi="Times New Roman"/>
        </w:rPr>
        <w:t xml:space="preserve">EMC, </w:t>
      </w:r>
      <w:r>
        <w:rPr>
          <w:sz w:val="24"/>
          <w:i/>
          <w:szCs w:val="24"/>
          <w:rFonts w:ascii="Times New Roman" w:hAnsi="Times New Roman"/>
        </w:rPr>
        <w:t>Escalas de Alterações</w:t>
      </w:r>
      <w:r>
        <w:rPr>
          <w:sz w:val="24"/>
          <w:szCs w:val="24"/>
          <w:rFonts w:ascii="Times New Roman" w:hAnsi="Times New Roman"/>
        </w:rPr>
        <w:t>, jun., 1896); Godofredo da Silva Miranda, nº 186, excluído do efetivo da Escola por, juntamente com outros companheiros, andar provocando “desordens nas ruas e quebrando as mangas de diversos lampeões da Rua do Seminario [da Prainha]” (AHEx, EMC,</w:t>
      </w:r>
      <w:r>
        <w:rPr>
          <w:sz w:val="24"/>
          <w:i/>
          <w:szCs w:val="24"/>
          <w:rFonts w:ascii="Times New Roman" w:hAnsi="Times New Roman"/>
        </w:rPr>
        <w:t xml:space="preserve"> Escalas de Alterações</w:t>
      </w:r>
      <w:r>
        <w:rPr>
          <w:sz w:val="24"/>
          <w:szCs w:val="24"/>
          <w:rFonts w:ascii="Times New Roman" w:hAnsi="Times New Roman"/>
        </w:rPr>
        <w:t xml:space="preserve">, maio, 1897). </w:t>
      </w:r>
    </w:p>
    <w:p>
      <w:pPr>
        <w:pStyle w:val="style0"/>
        <w:jc w:val="both"/>
        <w:ind w:firstLine="851" w:left="0" w:right="0"/>
        <w:spacing w:line="360" w:lineRule="atLeast"/>
      </w:pPr>
      <w:r>
        <w:rPr>
          <w:sz w:val="24"/>
          <w:szCs w:val="24"/>
          <w:rFonts w:ascii="Times New Roman" w:hAnsi="Times New Roman"/>
        </w:rPr>
        <w:t>Houve ainda cadetes que quebraram a hierarquia ao se dirigirem diretamente ao alto comando, como o fez o aluno nº 23, Elias Marinho de Albuquerque Uchôa, que acabou “(...) desligado (...) por ter dirigido um telegramma com termos inconvenientes ao Exmº Ministro da Guerra declarando ser solidário com os seus collegas da Escola do Rio”. (AHEx, EMC,</w:t>
      </w:r>
      <w:r>
        <w:rPr>
          <w:sz w:val="24"/>
          <w:i/>
          <w:szCs w:val="24"/>
          <w:rFonts w:ascii="Times New Roman" w:hAnsi="Times New Roman"/>
        </w:rPr>
        <w:t xml:space="preserve"> Escalas de Alterações</w:t>
      </w:r>
      <w:r>
        <w:rPr>
          <w:sz w:val="24"/>
          <w:szCs w:val="24"/>
          <w:rFonts w:ascii="Times New Roman" w:hAnsi="Times New Roman"/>
        </w:rPr>
        <w:t>, jun., 1897).</w:t>
      </w:r>
    </w:p>
    <w:p>
      <w:pPr>
        <w:pStyle w:val="style0"/>
        <w:jc w:val="both"/>
        <w:ind w:firstLine="851" w:left="0" w:right="0"/>
        <w:spacing w:line="360" w:lineRule="atLeast"/>
      </w:pPr>
      <w:r>
        <w:rPr>
          <w:sz w:val="24"/>
          <w:szCs w:val="24"/>
          <w:rFonts w:ascii="Times New Roman" w:hAnsi="Times New Roman"/>
        </w:rPr>
        <w:t>É instigante o grande número e variedade de transgressões dos alunos das escolas militares. Mas, para além da análise dos regulamentos</w:t>
      </w:r>
      <w:r>
        <w:rPr>
          <w:rStyle w:val="style28"/>
        </w:rPr>
        <w:footnoteReference w:id="4"/>
      </w:r>
      <w:r>
        <w:rPr>
          <w:sz w:val="24"/>
          <w:szCs w:val="24"/>
          <w:rFonts w:ascii="Times New Roman" w:hAnsi="Times New Roman"/>
        </w:rPr>
        <w:t xml:space="preserve"> a serem cumpridos, é importante uma reflexão sobre os possíveis significados da “indisciplina” para os alunos e para a direção da Escola Militar, que buscava o controle sobre os alunos, tentando-lhes moldar o pensamento, autoimagem e comportamento. Segundo Erving Goffman (2008), que elencou quartéis e escolas militares entre as “instituições totais”, ocorreriam aí as “profanações do eu”, num movimento intencional de afastar os novatos (no caso, os cadetes) de seu mundo doméstico e controlar-lhes esferas importantes da vida, como o sono, o lazer e o trabalho. </w:t>
      </w:r>
    </w:p>
    <w:p>
      <w:pPr>
        <w:pStyle w:val="style0"/>
        <w:jc w:val="both"/>
        <w:ind w:firstLine="851" w:left="0" w:right="0"/>
        <w:spacing w:line="360" w:lineRule="atLeast"/>
      </w:pPr>
      <w:r>
        <w:rPr>
          <w:sz w:val="24"/>
          <w:szCs w:val="24"/>
          <w:rFonts w:ascii="Times New Roman" w:hAnsi="Times New Roman"/>
        </w:rPr>
        <w:t xml:space="preserve">Nas escolas militares, tentava-se “criar” uma nova identidade social nos cadetes dando-lhes, por exemplo, nomes de guerra e números pelos quais passavam a ser reconhecidos, ou mesmo por meio de vários elementos institucionais, como os uniformes, os hinos e os gestos regulamentares, constituindo uma espécie de “invenção das tradições”, segundo o pensamento de Eric Hobsbawm (1984). Por outro lado, elementos não presentes nos currículos formais, como os trotes, as transgressões coletivas (na escola e na cidade) e até mesmo as associações literárias e culturais dos alunos também podem ter contribuído para constituir uma identidade de “aluno da Escola Militar” e para a formação geral dos alunos. </w:t>
      </w:r>
    </w:p>
    <w:p>
      <w:pPr>
        <w:pStyle w:val="style0"/>
        <w:jc w:val="both"/>
        <w:ind w:firstLine="851" w:left="0" w:right="0"/>
        <w:spacing w:after="60" w:before="0" w:line="360" w:lineRule="atLeast"/>
      </w:pPr>
      <w:r>
        <w:rPr>
          <w:sz w:val="24"/>
          <w:szCs w:val="24"/>
          <w:rFonts w:ascii="Times New Roman" w:hAnsi="Times New Roman"/>
        </w:rPr>
        <w:t xml:space="preserve">Acrescente-se que, no caso da EMC, o regime de externato. Tal condição possibilitava aos discentes quebrar o isolamento da caserna e ampliar seu campo de sociabilidades por meio dos contatos com os munícipes o que, muitas vezes, gerava situações um tanto polêmicas. Veja-se o caso do aluno Oscar Maia Wold, que acabou excluído do efetivo da Escola Militar por “falta gravíssima de moralidade”, segundo o artigo 145 do Regulamento de 1890. </w:t>
      </w:r>
    </w:p>
    <w:p>
      <w:pPr>
        <w:pStyle w:val="style0"/>
        <w:jc w:val="both"/>
        <w:ind w:firstLine="851" w:left="0" w:right="0"/>
        <w:spacing w:line="360" w:lineRule="atLeast"/>
      </w:pPr>
      <w:r>
        <w:rPr>
          <w:sz w:val="24"/>
          <w:szCs w:val="24"/>
          <w:rFonts w:ascii="Times New Roman" w:hAnsi="Times New Roman"/>
        </w:rPr>
      </w:r>
    </w:p>
    <w:p>
      <w:pPr>
        <w:pStyle w:val="style0"/>
        <w:jc w:val="both"/>
        <w:ind w:hanging="0" w:left="2155" w:right="0"/>
      </w:pPr>
      <w:r>
        <w:rPr>
          <w:rFonts w:ascii="Times New Roman" w:hAnsi="Times New Roman"/>
        </w:rPr>
        <w:t xml:space="preserve">A 4 (de maio) ficou preso por 8 dias por ter insultado e offendido a um seu companheiro. Baixou a Enffermaria a 4, sahindo a 10, como incurso no artigo 145 do Regulamento por se embriagar constantemente e insultar os transeuntes em frente de sua casa onde praticava actos de immoralidade como o de andar em deboxe com mulheres prostitutas, e isto com as janellas abertas, consentindo que ellas tomem banho no Pajeú com seus uniformes. (AHEx, EMC, </w:t>
      </w:r>
      <w:r>
        <w:rPr>
          <w:i/>
          <w:rFonts w:ascii="Times New Roman" w:hAnsi="Times New Roman"/>
        </w:rPr>
        <w:t>Escala de Alterações</w:t>
      </w:r>
      <w:r>
        <w:rPr>
          <w:rFonts w:ascii="Times New Roman" w:hAnsi="Times New Roman"/>
        </w:rPr>
        <w:t>,  jun., 1896)</w:t>
      </w:r>
    </w:p>
    <w:p>
      <w:pPr>
        <w:pStyle w:val="style0"/>
        <w:jc w:val="both"/>
        <w:ind w:firstLine="851" w:left="0" w:right="0"/>
        <w:spacing w:line="360" w:lineRule="atLeast"/>
      </w:pPr>
      <w:r>
        <w:rPr>
          <w:sz w:val="24"/>
          <w:szCs w:val="24"/>
          <w:rFonts w:ascii="Times New Roman" w:hAnsi="Times New Roman"/>
        </w:rPr>
      </w:r>
    </w:p>
    <w:p>
      <w:pPr>
        <w:pStyle w:val="style0"/>
        <w:jc w:val="both"/>
        <w:ind w:firstLine="851" w:left="0" w:right="0"/>
        <w:spacing w:line="360" w:lineRule="atLeast"/>
      </w:pPr>
      <w:r>
        <w:rPr>
          <w:sz w:val="24"/>
          <w:szCs w:val="24"/>
          <w:rFonts w:ascii="Times New Roman" w:hAnsi="Times New Roman"/>
        </w:rPr>
        <w:t xml:space="preserve">O registro acima aponta que alugar uma casa gerava espaço para as relações sociais que o aluno poderia escolher ter, o que contribuía para o “descontrole” institucional. Há que se pensar como isso era visto pelo comando (diretoria) da Escola e pela sociedade fortalezense. Na visão do aluno Oscar, permitir que “mulheres prostitutas” tomassem banho no rio Pajeú com o uniforme da Escola Militar, talvez não representasse mais que uma brincadeira. Para o comando da Escola (e, provavelmente, para os munícipes em geral) era “ato de imoralidade”. Havia, portanto, um conflito entre esses múltiplos olhares e eram constantes as tensões entre os discentes e a sociedade fortalezense da época. </w:t>
      </w:r>
    </w:p>
    <w:p>
      <w:pPr>
        <w:pStyle w:val="style0"/>
        <w:jc w:val="both"/>
        <w:ind w:firstLine="851" w:left="0" w:right="0"/>
        <w:spacing w:line="360" w:lineRule="atLeast"/>
      </w:pPr>
      <w:r>
        <w:rPr>
          <w:sz w:val="24"/>
          <w:szCs w:val="24"/>
          <w:rFonts w:ascii="Times New Roman" w:hAnsi="Times New Roman"/>
        </w:rPr>
        <w:t>Como já se pode perceber, punições aparecem corriqueiramente na documentação</w:t>
      </w:r>
      <w:r>
        <w:rPr>
          <w:rStyle w:val="style28"/>
        </w:rPr>
        <w:footnoteReference w:id="5"/>
      </w:r>
      <w:r>
        <w:rPr>
          <w:sz w:val="24"/>
          <w:szCs w:val="24"/>
          <w:rFonts w:ascii="Times New Roman" w:hAnsi="Times New Roman"/>
        </w:rPr>
        <w:t xml:space="preserve"> produzida pelas escolas militares à época. As punições variavam de acordo com a gravidade das faltas e iam da repreensão, passando pela prisão de até trinta dias, até a exclusão. Os professores podiam impor diretamente penas menores, como repreensão particular, repreensão na presença dos demais alunos e retirada da aula. </w:t>
      </w:r>
    </w:p>
    <w:p>
      <w:pPr>
        <w:pStyle w:val="style0"/>
        <w:jc w:val="both"/>
        <w:ind w:firstLine="851" w:left="0" w:right="0"/>
        <w:spacing w:line="360" w:lineRule="atLeast"/>
      </w:pPr>
      <w:r>
        <w:rPr>
          <w:sz w:val="24"/>
          <w:szCs w:val="24"/>
          <w:rFonts w:ascii="Times New Roman" w:hAnsi="Times New Roman"/>
        </w:rPr>
        <w:t>Se houve partes dos regulamentos que foram mais aplicadas, certamente as punições estão entre as mais contempladas. Encontramos registros de transgressões disciplinares tanto na documentação institucional quanto nas publicações memorialistas de ex-alunos das Escolas Militares e de seus contemporâneos nas cidades onde esses estabelecimentos de ensino existiram. Essas transgressões não se davam apenas dentro da escola. Boa parte delas eram extramuros, como nos hotéis das cidades. Foram os casos, por exemplo, do aluno da Escola Militar do Ceará, Antonio Vicente Murinelly</w:t>
      </w:r>
      <w:r>
        <w:rPr>
          <w:rStyle w:val="style28"/>
        </w:rPr>
        <w:footnoteReference w:id="6"/>
      </w:r>
      <w:r>
        <w:rPr>
          <w:sz w:val="24"/>
          <w:szCs w:val="24"/>
          <w:rFonts w:ascii="Times New Roman" w:hAnsi="Times New Roman"/>
        </w:rPr>
        <w:t>, preso por se comportar mal num hotel de Fortaleza; de alguns alunos da Escola Militar do Rio Grande do Sul, que não pagaram despesas feitas no Hotel La Minuta (em Porto Alegre)</w:t>
      </w:r>
      <w:r>
        <w:rPr>
          <w:rStyle w:val="style28"/>
        </w:rPr>
        <w:footnoteReference w:id="7"/>
      </w:r>
      <w:r>
        <w:rPr>
          <w:sz w:val="24"/>
          <w:szCs w:val="24"/>
          <w:rFonts w:ascii="Times New Roman" w:hAnsi="Times New Roman"/>
        </w:rPr>
        <w:t>; dos alunos Pedro Jansen da Costa Lima e Elias Cintra Barbosa Lima, expulsos da Escola Militar da Corte, por praticarem roubo no hotel Ravot, no Rio de Janeiro</w:t>
      </w:r>
      <w:r>
        <w:rPr>
          <w:rStyle w:val="style28"/>
        </w:rPr>
        <w:footnoteReference w:id="8"/>
      </w:r>
      <w:r>
        <w:rPr>
          <w:sz w:val="24"/>
          <w:szCs w:val="24"/>
          <w:rFonts w:ascii="Times New Roman" w:hAnsi="Times New Roman"/>
        </w:rPr>
        <w:t>.</w:t>
      </w:r>
    </w:p>
    <w:p>
      <w:pPr>
        <w:pStyle w:val="style0"/>
        <w:jc w:val="both"/>
        <w:ind w:firstLine="851" w:left="0" w:right="0"/>
        <w:spacing w:line="360" w:lineRule="atLeast"/>
      </w:pPr>
      <w:r>
        <w:rPr>
          <w:rFonts w:ascii="Times New Roman" w:hAnsi="Times New Roman"/>
        </w:rPr>
        <w:t xml:space="preserve"> </w:t>
      </w:r>
      <w:r>
        <w:rPr>
          <w:sz w:val="24"/>
          <w:szCs w:val="24"/>
          <w:rFonts w:ascii="Times New Roman" w:hAnsi="Times New Roman"/>
        </w:rPr>
        <w:t>Aliadas a essa questão da (in)disciplina, estavam ainda as tentativas de controle governamental sobre as ideias no interior das Escolas Militares e que motivavam o envolvimento dos alunos nas questões políticas da época.</w:t>
      </w:r>
    </w:p>
    <w:p>
      <w:pPr>
        <w:pStyle w:val="style0"/>
        <w:jc w:val="both"/>
        <w:ind w:firstLine="709" w:left="0" w:right="0"/>
        <w:spacing w:line="360" w:lineRule="atLeast"/>
      </w:pPr>
      <w:r>
        <w:rPr>
          <w:sz w:val="24"/>
          <w:szCs w:val="24"/>
          <w:rFonts w:ascii="Times New Roman" w:hAnsi="Times New Roman"/>
        </w:rPr>
      </w:r>
    </w:p>
    <w:p>
      <w:pPr>
        <w:pStyle w:val="style0"/>
        <w:jc w:val="both"/>
        <w:ind w:hanging="0" w:left="2268" w:right="0"/>
      </w:pPr>
      <w:r>
        <w:rPr>
          <w:rFonts w:ascii="Times New Roman" w:hAnsi="Times New Roman"/>
        </w:rPr>
        <w:t>Art. 204. Sem permissão previa não poderá alumno algum introduzir na escola periodicos, livros, brochuras ou desenhos: alem das penas disciplinares em que incorrerem os infractores desta disposição, ser-lhes-hão apreendidos os ditos objetos. (</w:t>
      </w:r>
      <w:r>
        <w:rPr>
          <w:i/>
          <w:rFonts w:ascii="Times New Roman" w:hAnsi="Times New Roman"/>
        </w:rPr>
        <w:t>Decreto nº 10.203, de 09 de março de 1889</w:t>
      </w:r>
      <w:r>
        <w:rPr>
          <w:rFonts w:ascii="Times New Roman" w:hAnsi="Times New Roman"/>
        </w:rPr>
        <w:t>; op. cit. p. 293).</w:t>
      </w:r>
    </w:p>
    <w:p>
      <w:pPr>
        <w:pStyle w:val="style0"/>
        <w:jc w:val="both"/>
        <w:spacing w:line="360" w:lineRule="atLeast"/>
      </w:pPr>
      <w:r>
        <w:rPr>
          <w:sz w:val="24"/>
          <w:szCs w:val="24"/>
          <w:rFonts w:ascii="Times New Roman" w:hAnsi="Times New Roman"/>
        </w:rPr>
      </w:r>
    </w:p>
    <w:p>
      <w:pPr>
        <w:pStyle w:val="style0"/>
        <w:jc w:val="both"/>
        <w:ind w:firstLine="851" w:left="0" w:right="0"/>
        <w:spacing w:after="120" w:before="0" w:line="360" w:lineRule="atLeast"/>
      </w:pPr>
      <w:r>
        <w:rPr>
          <w:sz w:val="24"/>
          <w:szCs w:val="24"/>
          <w:rFonts w:ascii="Times New Roman" w:hAnsi="Times New Roman"/>
        </w:rPr>
        <w:t>Em nosso entendimento, havia a intenção coibir leituras que pudessem amparar posições republicanas. Segundo Celso Castro (1995), muitos assuntos discutidos pelos alunos não faziam parte do currículo nem eram ensinados pelos professores, por exemplo, as teorias cientificistas mais modernas, como as de Spencer e Haeckel. “Nos escritos dos alunos da Escola Militar do final do Império, são explícitas as referências ao positivismo, ao evolucionismo, ao abolicionismo e ao republicanismo”. (CASTRO, 1995, p. 63).</w:t>
      </w:r>
    </w:p>
    <w:p>
      <w:pPr>
        <w:pStyle w:val="style0"/>
        <w:jc w:val="both"/>
        <w:ind w:firstLine="851" w:left="0" w:right="0"/>
        <w:spacing w:after="120" w:before="0" w:line="360" w:lineRule="atLeast"/>
      </w:pPr>
      <w:r>
        <w:rPr>
          <w:sz w:val="24"/>
          <w:szCs w:val="24"/>
          <w:rFonts w:ascii="Times New Roman" w:hAnsi="Times New Roman"/>
        </w:rPr>
        <w:t xml:space="preserve">Quanto ao ensino prático, que era formalmente previsto nos currículos das escolas militares em tela, parece-nos que foi pouco efetivo. De acordo com Jehovah Motta (1998), que estudou os trâmites do Regulamento de 1889 no Parlamento brasileiro, a proposta metodológica do ensino prático foi uma “inovação revolucionária.” (MOTTA, 1998, p. 171). </w:t>
      </w:r>
    </w:p>
    <w:p>
      <w:pPr>
        <w:pStyle w:val="style0"/>
        <w:jc w:val="both"/>
        <w:ind w:firstLine="851" w:left="0" w:right="0"/>
        <w:spacing w:line="360" w:lineRule="atLeast"/>
      </w:pPr>
      <w:r>
        <w:rPr>
          <w:sz w:val="24"/>
          <w:szCs w:val="24"/>
          <w:rFonts w:ascii="Times New Roman" w:hAnsi="Times New Roman"/>
        </w:rPr>
        <w:t>Segundo o Regulamento de 1889, o ensino prático nas Escolas Militares deveria compreender:</w:t>
      </w:r>
    </w:p>
    <w:p>
      <w:pPr>
        <w:pStyle w:val="style0"/>
        <w:jc w:val="both"/>
        <w:spacing w:line="360" w:lineRule="atLeast"/>
      </w:pPr>
      <w:r>
        <w:rPr>
          <w:sz w:val="24"/>
          <w:szCs w:val="24"/>
          <w:rFonts w:ascii="Times New Roman" w:hAnsi="Times New Roman"/>
        </w:rPr>
      </w:r>
    </w:p>
    <w:p>
      <w:pPr>
        <w:pStyle w:val="style0"/>
        <w:jc w:val="both"/>
        <w:ind w:hanging="0" w:left="2268" w:right="0"/>
      </w:pPr>
      <w:r>
        <w:rPr>
          <w:rFonts w:ascii="Times New Roman" w:hAnsi="Times New Roman"/>
        </w:rPr>
        <w:t>Noções geraes sobre manipulações pyrothecnicas; diversos systemas de armas portáteis (...); exercicios e pequenas acções de guerra, segundo temas dados e tendo em vista os accidentes do terreno; (...) esgrima de espada e de baioneta; marchas, acampamentos, passagens de rios, embarques e desembarques, quer em navios, quer em trens de via férrea; construcção de obras de campanha com todos os seus detalhes e accessorios; limpeza das armas portateis; maneira de as montar e desmontar; noções geraes sobre a fabricação de seu cartuchame e das balas nelle empregadas; apreciação das distancias por diferentes methodos praticos, com instrumentos ou sem elles; nomenclatura de tiro e pratica deste com armas portateis, inclusive o revolver; (...); preceitos de subordinação, regimem e policia de corpos, quarteis, acampamentos e acantonamentos; serviço de guarnição das praças e povoações; honras e precedencias militares; detalhe do serviço diario e extraordinário (...). (</w:t>
      </w:r>
      <w:r>
        <w:rPr>
          <w:i/>
          <w:rFonts w:ascii="Times New Roman" w:hAnsi="Times New Roman"/>
        </w:rPr>
        <w:t>Decreto nº 10.203, de 09 de março de 1889</w:t>
      </w:r>
      <w:r>
        <w:rPr>
          <w:rFonts w:ascii="Times New Roman" w:hAnsi="Times New Roman"/>
        </w:rPr>
        <w:t>; op. cit. p. 264-265).</w:t>
      </w:r>
    </w:p>
    <w:p>
      <w:pPr>
        <w:pStyle w:val="style0"/>
        <w:jc w:val="both"/>
        <w:spacing w:line="360" w:lineRule="atLeast"/>
      </w:pPr>
      <w:r>
        <w:rPr>
          <w:sz w:val="24"/>
          <w:szCs w:val="24"/>
          <w:rFonts w:ascii="Times New Roman" w:hAnsi="Times New Roman"/>
        </w:rPr>
      </w:r>
    </w:p>
    <w:p>
      <w:pPr>
        <w:pStyle w:val="style0"/>
        <w:jc w:val="both"/>
        <w:ind w:firstLine="851" w:left="0" w:right="0"/>
        <w:spacing w:line="360" w:lineRule="atLeast"/>
      </w:pPr>
      <w:r>
        <w:rPr>
          <w:sz w:val="24"/>
          <w:szCs w:val="24"/>
          <w:rFonts w:ascii="Times New Roman" w:hAnsi="Times New Roman"/>
        </w:rPr>
        <w:t xml:space="preserve">Ao que parece, entretanto, o ensino prático nas Escolas Militares não foi efetivo. Em geral, predominou a parte teórica, seja porque o Regulamento de 1889 vigorou por curto período de tempo, dada a proclamação da República e, por conseguinte, o advento de uma nova regulamentação; seja pela inexistência de uma estrutura física apropriada para o ensino prático nas Escolas Militares. </w:t>
      </w:r>
    </w:p>
    <w:p>
      <w:pPr>
        <w:pStyle w:val="style0"/>
        <w:jc w:val="both"/>
        <w:ind w:firstLine="851" w:left="0" w:right="0"/>
        <w:spacing w:line="360" w:lineRule="atLeast"/>
      </w:pPr>
      <w:r>
        <w:rPr>
          <w:sz w:val="24"/>
          <w:szCs w:val="24"/>
          <w:rFonts w:ascii="Times New Roman" w:hAnsi="Times New Roman"/>
        </w:rPr>
        <w:t>O Regulamento de 1890</w:t>
      </w:r>
      <w:r>
        <w:rPr>
          <w:rStyle w:val="style28"/>
        </w:rPr>
        <w:footnoteReference w:id="9"/>
      </w:r>
      <w:r>
        <w:rPr>
          <w:sz w:val="24"/>
          <w:szCs w:val="24"/>
          <w:rFonts w:ascii="Times New Roman" w:hAnsi="Times New Roman"/>
        </w:rPr>
        <w:t xml:space="preserve"> foi claramente voltado para a “educação scientifica”</w:t>
      </w:r>
      <w:r>
        <w:rPr>
          <w:sz w:val="24"/>
          <w:i/>
          <w:szCs w:val="24"/>
          <w:rFonts w:ascii="Times New Roman" w:hAnsi="Times New Roman"/>
        </w:rPr>
        <w:t xml:space="preserve"> </w:t>
      </w:r>
      <w:r>
        <w:rPr>
          <w:sz w:val="24"/>
          <w:szCs w:val="24"/>
          <w:rFonts w:ascii="Times New Roman" w:hAnsi="Times New Roman"/>
        </w:rPr>
        <w:t>e estabeleceu um currículo no qual predominou bem mais o ensino teórico em detrimento do ensino prático. A Escola Militar do Ceará, por exemplo, ficou reduzida ao ensino preparatório (e teórico) e os seus alunos (também conhecidos como cadetes) praticamente desconheciam saberes voltados para a guerra. Assim, quando havia instrução militar, por simples que fosse, tornava-se notícia na cidade.</w:t>
      </w:r>
    </w:p>
    <w:p>
      <w:pPr>
        <w:pStyle w:val="style0"/>
        <w:jc w:val="both"/>
        <w:ind w:firstLine="851" w:left="0" w:right="0"/>
        <w:spacing w:line="360" w:lineRule="atLeast"/>
      </w:pPr>
      <w:r>
        <w:rPr>
          <w:sz w:val="24"/>
          <w:szCs w:val="24"/>
          <w:rFonts w:ascii="Times New Roman" w:hAnsi="Times New Roman"/>
        </w:rPr>
      </w:r>
    </w:p>
    <w:p>
      <w:pPr>
        <w:pStyle w:val="style0"/>
        <w:jc w:val="both"/>
        <w:ind w:hanging="0" w:left="2268" w:right="0"/>
      </w:pPr>
      <w:r>
        <w:rPr>
          <w:rFonts w:ascii="Times New Roman" w:hAnsi="Times New Roman"/>
        </w:rPr>
        <w:t>ESCOLA MILITAR</w:t>
      </w:r>
    </w:p>
    <w:p>
      <w:pPr>
        <w:pStyle w:val="style0"/>
        <w:jc w:val="both"/>
        <w:ind w:hanging="0" w:left="2268" w:right="0"/>
      </w:pPr>
      <w:r>
        <w:rPr>
          <w:rFonts w:ascii="Times New Roman" w:hAnsi="Times New Roman"/>
        </w:rPr>
        <w:t xml:space="preserve">Na tarde de sabbado fez exercicios a praça de Pelotas o brioso corpo de alunmos desta capital, sob o commando do respectivo instructor tenente Leitão da Cunha. A escola marchou com verdadeiro garbo e correcção militares, executando rapidamente todas as vozes de commando, que nas manobras d’arma, quer nas evoluções de guerra. (Jornal </w:t>
      </w:r>
      <w:r>
        <w:rPr>
          <w:i/>
          <w:rFonts w:ascii="Times New Roman" w:hAnsi="Times New Roman"/>
        </w:rPr>
        <w:t>A Republica</w:t>
      </w:r>
      <w:r>
        <w:rPr>
          <w:rFonts w:ascii="Times New Roman" w:hAnsi="Times New Roman"/>
        </w:rPr>
        <w:t>, Fortaleza. 26 out. 1896, p. 3).</w:t>
      </w:r>
    </w:p>
    <w:p>
      <w:pPr>
        <w:pStyle w:val="style0"/>
        <w:jc w:val="both"/>
        <w:spacing w:line="360" w:lineRule="atLeast"/>
      </w:pPr>
      <w:r>
        <w:rPr>
          <w:sz w:val="24"/>
          <w:szCs w:val="24"/>
          <w:rFonts w:ascii="Times New Roman" w:hAnsi="Times New Roman"/>
        </w:rPr>
      </w:r>
    </w:p>
    <w:p>
      <w:pPr>
        <w:pStyle w:val="style0"/>
        <w:jc w:val="both"/>
        <w:ind w:firstLine="851" w:left="0" w:right="0"/>
        <w:spacing w:after="120" w:before="0" w:line="360" w:lineRule="atLeast"/>
      </w:pPr>
      <w:r>
        <w:rPr>
          <w:sz w:val="24"/>
          <w:szCs w:val="24"/>
          <w:rFonts w:ascii="Times New Roman" w:hAnsi="Times New Roman"/>
        </w:rPr>
        <w:t xml:space="preserve">O registro acima se refere ao ensino prático. Na terminologia militar atual, o exercício executado pelos alunos seria a ordem unida com arma; atividade que, mesmo no século XIX, envolvia baixo grau de complexidade para execução. Entretanto, mesmo uma atividade prática simples raramente ocorria na Escola e quando ocorria era motivo de referência em jornal. Ao que parece, o que ocorreu na Praça de Pelotas, em Fortaleza, sábado, 26 de outubro de 1896, foi muito mais uma apresentação dos alunos da Escola Militar do que um exercício prático que deveria ocorrer corriqueiramente. </w:t>
      </w:r>
    </w:p>
    <w:p>
      <w:pPr>
        <w:pStyle w:val="style0"/>
        <w:jc w:val="both"/>
        <w:ind w:firstLine="851" w:left="0" w:right="0"/>
        <w:spacing w:line="360" w:lineRule="atLeast"/>
      </w:pPr>
      <w:r>
        <w:rPr>
          <w:sz w:val="24"/>
          <w:szCs w:val="24"/>
          <w:rFonts w:ascii="Times New Roman" w:hAnsi="Times New Roman"/>
        </w:rPr>
        <w:t>Ainda considerando o Regulamento de 1890, destaque-se que mudou a denominação de Escola Militar da Corte para Escola Militar da Capital Federal, mais conhecida como Escola Militar do Rio de Janeiro.</w:t>
      </w:r>
    </w:p>
    <w:p>
      <w:pPr>
        <w:pStyle w:val="style0"/>
        <w:jc w:val="both"/>
        <w:ind w:firstLine="851" w:left="0" w:right="0"/>
        <w:spacing w:line="360" w:lineRule="atLeast"/>
      </w:pPr>
      <w:r>
        <w:rPr>
          <w:sz w:val="24"/>
          <w:szCs w:val="24"/>
          <w:rFonts w:ascii="Times New Roman" w:hAnsi="Times New Roman"/>
        </w:rPr>
        <w:t xml:space="preserve">O Regulamento seguinte, de 1898, determinou a extinção das escolas militares existentes no Ceará e no Rio Grande do Sul, bem como a unificação das escolas militares existentes do Rio de Janeiro, originando assim a Escola Militar do Brasil (funcionou de 1898 a 1905), mais conhecida como Praia Vermelha, devido ao local em que ela e suas antecessoras foram instaladas. </w:t>
      </w:r>
    </w:p>
    <w:p>
      <w:pPr>
        <w:pStyle w:val="style0"/>
        <w:jc w:val="both"/>
        <w:ind w:firstLine="851" w:left="0" w:right="0"/>
        <w:spacing w:line="360" w:lineRule="atLeast"/>
      </w:pPr>
      <w:r>
        <w:rPr>
          <w:sz w:val="24"/>
          <w:szCs w:val="24"/>
          <w:rFonts w:ascii="Times New Roman" w:hAnsi="Times New Roman"/>
        </w:rPr>
        <w:t xml:space="preserve">A extinção da Escola Militar do Ceará pode estar ligada ao grande número de casos de indisciplina por parte dos discentes, seja no interior da escola, seja na cidade. Além disso, em 1897, houve dezenas de casos de quebra de hierarquia militar praticados por alunos que, em protesto solidário aos alunos da Escola Militar do Rio de Janeiro, dirigiram-se diretamente ao alto comando do Exército (MARQUES, 2009). </w:t>
      </w:r>
    </w:p>
    <w:p>
      <w:pPr>
        <w:pStyle w:val="style0"/>
        <w:jc w:val="both"/>
        <w:ind w:firstLine="851" w:left="0" w:right="0"/>
        <w:spacing w:line="360" w:lineRule="atLeast"/>
      </w:pPr>
      <w:r>
        <w:rPr>
          <w:sz w:val="24"/>
          <w:szCs w:val="24"/>
          <w:rFonts w:ascii="Times New Roman" w:hAnsi="Times New Roman"/>
        </w:rPr>
        <w:t>De qualquer modo, o Regulamento de 1898 determinou que a Escola Militar do Brasil destinar-se-ia a oferecer o curso das três armas combatentes (Infantaria, Cavalaria e Artilharia) mais os cursos de Engenharia Militar e de Estado-Maior. Iam para essa escola os alunos concludentes dos cursos nas escolas preparatórias do Realengo (RJ) e do Rio Pardo (RS). Os concludentes do Colégio Militar do Rio de Janeiro também tinham possibilidades de matrícula.</w:t>
      </w:r>
    </w:p>
    <w:p>
      <w:pPr>
        <w:pStyle w:val="style0"/>
        <w:jc w:val="both"/>
        <w:ind w:firstLine="851" w:left="0" w:right="0"/>
        <w:spacing w:line="360" w:lineRule="atLeast"/>
      </w:pPr>
      <w:r>
        <w:rPr>
          <w:sz w:val="24"/>
          <w:szCs w:val="24"/>
          <w:rFonts w:ascii="Times New Roman" w:hAnsi="Times New Roman"/>
        </w:rPr>
        <w:t>Segundo Lobato Filho (1992), que foi aluno na Escola Militar da Praia Vermelha, o novo regulamento conseguiu seu objetivo de desarticular a formação do clima político que predominava entre os discentes.  Em nosso entendimento, entretanto, se isso ocorreu foi por breve período, pois o ambiente político do início do século XX afetou os alunos, que acabaram se envolvendo diretamente no movimento contra a lei da vacinação obrigatória e no levante contra o governo federal.</w:t>
      </w:r>
    </w:p>
    <w:p>
      <w:pPr>
        <w:pStyle w:val="style0"/>
        <w:jc w:val="both"/>
        <w:ind w:firstLine="851" w:left="0" w:right="0"/>
        <w:spacing w:line="360" w:lineRule="atLeast"/>
      </w:pPr>
      <w:r>
        <w:rPr>
          <w:sz w:val="24"/>
          <w:szCs w:val="24"/>
          <w:rFonts w:ascii="Times New Roman" w:hAnsi="Times New Roman"/>
        </w:rPr>
        <w:t xml:space="preserve">Devido à participação dos alunos no que viria a ser denominada Revolta da Vacina, houve nova reforma no ensino militar. Foi o Regulamento de 1905, que extinguiu a Escola Militar do Brasil, passando a formação de oficiais a ser feita em diversas escolas, tendo como única porta de entrada a Escola de Guerra, sediada em Porto Alegre. Dali os alunos prosseguiriam a formação em outros estabelecimentos de ensino militar. </w:t>
      </w:r>
    </w:p>
    <w:p>
      <w:pPr>
        <w:pStyle w:val="style0"/>
        <w:jc w:val="both"/>
        <w:ind w:firstLine="851" w:left="0" w:right="0"/>
        <w:spacing w:line="360" w:lineRule="atLeast"/>
      </w:pPr>
      <w:r>
        <w:rPr>
          <w:sz w:val="24"/>
          <w:szCs w:val="24"/>
          <w:rFonts w:ascii="Times New Roman" w:hAnsi="Times New Roman"/>
        </w:rPr>
        <w:t xml:space="preserve">Essa nova regulamentação marcou uma tendência importante no sentido de profissionalização do oficial do Exército. Os cursos das três armas (Infantaria, Cavalaria e Artilharia) , bem como os cursos de Engenharia e de Estado-Maior passaram a ser oferecidos de forma descentralizada, entretanto, com caráter marcadamente prático. Segundo Jeohvah Motta (1998), estudioso dos currículos dessas escolas, houve no período forte propósito de profissionalizar a formação do militar. Em outros termos, a formação profissional começou a ser efetiva. Constituía-se, assim, um marco referencial na formação recebida dentro das escolas militares, bem como na tentativa dos chefes militares em tornar reais os currículos formais. </w:t>
      </w:r>
    </w:p>
    <w:p>
      <w:pPr>
        <w:pStyle w:val="style0"/>
        <w:jc w:val="both"/>
        <w:spacing w:after="120" w:before="0" w:line="360" w:lineRule="atLeast"/>
      </w:pPr>
      <w:r>
        <w:rPr>
          <w:sz w:val="24"/>
          <w:szCs w:val="24"/>
          <w:rFonts w:ascii="Times New Roman" w:hAnsi="Times New Roman"/>
        </w:rPr>
      </w:r>
    </w:p>
    <w:p>
      <w:pPr>
        <w:pStyle w:val="style0"/>
        <w:jc w:val="both"/>
        <w:spacing w:line="360" w:lineRule="atLeast"/>
      </w:pPr>
      <w:r>
        <w:rPr>
          <w:sz w:val="24"/>
          <w:b/>
          <w:szCs w:val="24"/>
          <w:rFonts w:ascii="Times New Roman" w:hAnsi="Times New Roman"/>
        </w:rPr>
        <w:t>Considerações finais</w:t>
      </w:r>
    </w:p>
    <w:p>
      <w:pPr>
        <w:pStyle w:val="style0"/>
        <w:jc w:val="both"/>
        <w:ind w:firstLine="709" w:left="0" w:right="0"/>
        <w:spacing w:line="360" w:lineRule="atLeast"/>
      </w:pPr>
      <w:r>
        <w:rPr>
          <w:sz w:val="24"/>
          <w:szCs w:val="24"/>
          <w:rFonts w:ascii="Times New Roman" w:hAnsi="Times New Roman"/>
        </w:rPr>
        <w:t xml:space="preserve">Os saberes constituídos nas antigas escolas militares do EB no final do século XIX e início do século XX foram influenciados por vários fatores, como as correntes de pensamento que chegavam da Europa, o papel dos militares na transição para a República, e a necessidade de “modernizar” a educação militar. </w:t>
      </w:r>
    </w:p>
    <w:p>
      <w:pPr>
        <w:pStyle w:val="style0"/>
        <w:jc w:val="both"/>
        <w:ind w:firstLine="709" w:left="0" w:right="0"/>
        <w:spacing w:line="360" w:lineRule="atLeast"/>
      </w:pPr>
      <w:r>
        <w:rPr>
          <w:sz w:val="24"/>
          <w:szCs w:val="24"/>
          <w:rFonts w:ascii="Times New Roman" w:hAnsi="Times New Roman"/>
        </w:rPr>
        <w:t xml:space="preserve">Ao mesmo tempo, os alunos das escolas militares foram personagens ativos na construção de saberes que estavam, em boa parte, além das práticas curriculares institucionalmente previstas. Isso se dava, seja exercendo atividades intelectuais, seja participando de movimentos políticos, seja se apropriando do ideal de modernidade e do papel de soldado-cidadão. </w:t>
      </w:r>
    </w:p>
    <w:p>
      <w:pPr>
        <w:pStyle w:val="style0"/>
        <w:jc w:val="both"/>
        <w:ind w:firstLine="709" w:left="0" w:right="0"/>
        <w:spacing w:line="360" w:lineRule="atLeast"/>
      </w:pPr>
      <w:r>
        <w:rPr>
          <w:sz w:val="24"/>
          <w:szCs w:val="24"/>
          <w:rFonts w:ascii="Times New Roman" w:hAnsi="Times New Roman"/>
        </w:rPr>
        <w:t xml:space="preserve">Portanto, boa parte da formação dos alunos não estava nos currículos formais, mas, sim, em experiências extracurriculares ocorridas cotidianamente dentro e fora dos muros das escolas militares. </w:t>
      </w:r>
    </w:p>
    <w:p>
      <w:pPr>
        <w:pStyle w:val="style0"/>
        <w:jc w:val="both"/>
        <w:spacing w:line="360" w:lineRule="atLeast"/>
      </w:pPr>
      <w:r>
        <w:rPr>
          <w:sz w:val="24"/>
          <w:szCs w:val="24"/>
          <w:rFonts w:ascii="Times New Roman" w:hAnsi="Times New Roman"/>
        </w:rPr>
      </w:r>
    </w:p>
    <w:p>
      <w:pPr>
        <w:pStyle w:val="style0"/>
        <w:jc w:val="both"/>
        <w:spacing w:line="360" w:lineRule="atLeast"/>
      </w:pPr>
      <w:r>
        <w:rPr>
          <w:sz w:val="24"/>
          <w:szCs w:val="24"/>
          <w:rFonts w:ascii="Times New Roman" w:hAnsi="Times New Roman"/>
        </w:rPr>
      </w:r>
    </w:p>
    <w:p>
      <w:pPr>
        <w:pStyle w:val="style0"/>
        <w:jc w:val="both"/>
        <w:spacing w:line="360" w:lineRule="atLeast"/>
      </w:pPr>
      <w:r>
        <w:rPr>
          <w:sz w:val="24"/>
          <w:b/>
          <w:szCs w:val="24"/>
          <w:rFonts w:ascii="Times New Roman" w:hAnsi="Times New Roman"/>
        </w:rPr>
        <w:t>Referências</w:t>
      </w:r>
    </w:p>
    <w:p>
      <w:pPr>
        <w:pStyle w:val="style0"/>
        <w:jc w:val="both"/>
        <w:spacing w:line="360" w:lineRule="atLeast"/>
      </w:pPr>
      <w:r>
        <w:rPr>
          <w:sz w:val="24"/>
          <w:u w:val="single"/>
          <w:szCs w:val="24"/>
          <w:rFonts w:ascii="Times New Roman" w:hAnsi="Times New Roman"/>
        </w:rPr>
        <w:t>Legislação educacional, documentos institucionais e periódicos</w:t>
      </w:r>
    </w:p>
    <w:p>
      <w:pPr>
        <w:pStyle w:val="style0"/>
        <w:jc w:val="both"/>
        <w:spacing w:after="120" w:before="0"/>
      </w:pPr>
      <w:r>
        <w:rPr>
          <w:sz w:val="24"/>
          <w:i/>
          <w:szCs w:val="24"/>
          <w:rFonts w:ascii="Times New Roman" w:hAnsi="Times New Roman"/>
        </w:rPr>
        <w:t>Decreto nº 10.203, de 09 de março de 1889</w:t>
      </w:r>
      <w:r>
        <w:rPr>
          <w:sz w:val="24"/>
          <w:szCs w:val="24"/>
          <w:rFonts w:ascii="Times New Roman" w:hAnsi="Times New Roman"/>
        </w:rPr>
        <w:t xml:space="preserve"> (Regulamento para as Escolas do Exército). In: </w:t>
      </w:r>
      <w:r>
        <w:rPr>
          <w:sz w:val="24"/>
          <w:b/>
          <w:szCs w:val="24"/>
          <w:rFonts w:ascii="Times New Roman" w:hAnsi="Times New Roman"/>
        </w:rPr>
        <w:t>Colleção das Leis do Imperio do Brasil do ano de 1889</w:t>
      </w:r>
      <w:r>
        <w:rPr>
          <w:sz w:val="24"/>
          <w:szCs w:val="24"/>
          <w:rFonts w:ascii="Times New Roman" w:hAnsi="Times New Roman"/>
        </w:rPr>
        <w:t xml:space="preserve">. Vol. I. p. 259-309. Rio de Janeiro: Imprensa Nacional, 1889. Acervo do Arquivo Histórico do Exército (AHEx). </w:t>
      </w:r>
    </w:p>
    <w:p>
      <w:pPr>
        <w:pStyle w:val="style0"/>
        <w:jc w:val="both"/>
        <w:spacing w:after="120" w:before="0"/>
      </w:pPr>
      <w:r>
        <w:rPr>
          <w:sz w:val="24"/>
          <w:i/>
          <w:szCs w:val="24"/>
          <w:rFonts w:ascii="Times New Roman" w:hAnsi="Times New Roman"/>
        </w:rPr>
        <w:t>Decreto nº 330, de 12 de abril de 1890</w:t>
      </w:r>
      <w:r>
        <w:rPr>
          <w:sz w:val="24"/>
          <w:szCs w:val="24"/>
          <w:rFonts w:ascii="Times New Roman" w:hAnsi="Times New Roman"/>
        </w:rPr>
        <w:t xml:space="preserve"> (Regulamento que reorganiza o ensino nas Escolas do Exército). In: </w:t>
      </w:r>
      <w:r>
        <w:rPr>
          <w:sz w:val="24"/>
          <w:b/>
          <w:szCs w:val="24"/>
          <w:rFonts w:ascii="Times New Roman" w:hAnsi="Times New Roman"/>
        </w:rPr>
        <w:t>Decretos do Governo Provisório da Republica dos Estados Unidos do Brazil</w:t>
      </w:r>
      <w:r>
        <w:rPr>
          <w:sz w:val="24"/>
          <w:szCs w:val="24"/>
          <w:rFonts w:ascii="Times New Roman" w:hAnsi="Times New Roman"/>
        </w:rPr>
        <w:t>. 4º Fascículo, Rio de Janeiro: Imprensa Nacional, 1890, p. 550-599. Acervo do Arquivo Histórico do Exército (AHEx).</w:t>
      </w:r>
    </w:p>
    <w:p>
      <w:pPr>
        <w:pStyle w:val="style0"/>
        <w:jc w:val="both"/>
        <w:widowControl/>
        <w:spacing w:after="120" w:before="0"/>
      </w:pPr>
      <w:r>
        <w:rPr>
          <w:sz w:val="24"/>
          <w:i/>
          <w:szCs w:val="24"/>
          <w:rFonts w:ascii="Times New Roman" w:hAnsi="Times New Roman"/>
        </w:rPr>
        <w:t>Escalas de serviço e alterações de alunos</w:t>
      </w:r>
      <w:r>
        <w:rPr>
          <w:sz w:val="24"/>
          <w:szCs w:val="24"/>
          <w:rFonts w:ascii="Times New Roman" w:hAnsi="Times New Roman"/>
        </w:rPr>
        <w:t>, Escola Militar do Ceará, mensal, ano de 1889. Acervo do Arquivo Histórico do Exército (AHEx).</w:t>
      </w:r>
    </w:p>
    <w:p>
      <w:pPr>
        <w:pStyle w:val="style0"/>
        <w:jc w:val="both"/>
        <w:spacing w:after="120" w:before="0"/>
      </w:pPr>
      <w:r>
        <w:rPr>
          <w:sz w:val="24"/>
          <w:szCs w:val="24"/>
          <w:rFonts w:ascii="Times New Roman" w:hAnsi="Times New Roman"/>
        </w:rPr>
        <w:t xml:space="preserve">Jornal </w:t>
      </w:r>
      <w:r>
        <w:rPr>
          <w:sz w:val="24"/>
          <w:i/>
          <w:szCs w:val="24"/>
          <w:rFonts w:ascii="Times New Roman" w:hAnsi="Times New Roman"/>
        </w:rPr>
        <w:t>A Republica</w:t>
      </w:r>
      <w:r>
        <w:rPr>
          <w:sz w:val="24"/>
          <w:szCs w:val="24"/>
          <w:rFonts w:ascii="Times New Roman" w:hAnsi="Times New Roman"/>
        </w:rPr>
        <w:t>, Fortaleza. 26 out. 1896, p. 3. Acervo da Academia Cearense de Imprensa (ACI).</w:t>
      </w:r>
    </w:p>
    <w:p>
      <w:pPr>
        <w:pStyle w:val="style0"/>
        <w:jc w:val="both"/>
        <w:widowControl/>
        <w:spacing w:after="120" w:before="0"/>
      </w:pPr>
      <w:r>
        <w:rPr>
          <w:sz w:val="24"/>
          <w:i/>
          <w:szCs w:val="24"/>
          <w:rFonts w:ascii="Times New Roman" w:hAnsi="Times New Roman"/>
        </w:rPr>
        <w:t>Ordens do dia</w:t>
      </w:r>
      <w:r>
        <w:rPr>
          <w:sz w:val="24"/>
          <w:szCs w:val="24"/>
          <w:rFonts w:ascii="Times New Roman" w:hAnsi="Times New Roman"/>
        </w:rPr>
        <w:t>, Escola Militar da Corte, diário, 1889. Acervo do Arquivo Histórico do Exército (AHEx).</w:t>
      </w:r>
    </w:p>
    <w:p>
      <w:pPr>
        <w:pStyle w:val="style0"/>
        <w:jc w:val="both"/>
        <w:spacing w:after="120" w:before="120"/>
      </w:pPr>
      <w:r>
        <w:rPr>
          <w:sz w:val="24"/>
          <w:i/>
          <w:szCs w:val="24"/>
          <w:rFonts w:ascii="Times New Roman" w:hAnsi="Times New Roman"/>
        </w:rPr>
        <w:t>Revista Evolução</w:t>
      </w:r>
      <w:r>
        <w:rPr>
          <w:sz w:val="24"/>
          <w:szCs w:val="24"/>
          <w:rFonts w:ascii="Times New Roman" w:hAnsi="Times New Roman"/>
        </w:rPr>
        <w:t>, Fortaleza: Typographia Universal, Anno I, n. 2, 1893, mensal. Acervo da Biblioteca Nacional (BN).</w:t>
      </w:r>
    </w:p>
    <w:p>
      <w:pPr>
        <w:pStyle w:val="style0"/>
        <w:jc w:val="both"/>
        <w:spacing w:after="120" w:before="120"/>
      </w:pPr>
      <w:r>
        <w:rPr>
          <w:sz w:val="24"/>
          <w:i/>
          <w:szCs w:val="24"/>
          <w:rFonts w:ascii="Times New Roman" w:hAnsi="Times New Roman"/>
        </w:rPr>
        <w:t>Revista Primeiro de Maio</w:t>
      </w:r>
      <w:r>
        <w:rPr>
          <w:sz w:val="24"/>
          <w:szCs w:val="24"/>
          <w:rFonts w:ascii="Times New Roman" w:hAnsi="Times New Roman"/>
        </w:rPr>
        <w:t>, Fortaleza, Typografia Universal, Anno I, n. 1, jun. 1891, mensal. Acervo da Biblioteca Nacional (BN).</w:t>
      </w:r>
    </w:p>
    <w:p>
      <w:pPr>
        <w:pStyle w:val="style0"/>
        <w:jc w:val="both"/>
        <w:widowControl/>
        <w:spacing w:after="120" w:before="0"/>
      </w:pPr>
      <w:r>
        <w:rPr>
          <w:color w:val="FF0000"/>
          <w:sz w:val="24"/>
          <w:szCs w:val="24"/>
          <w:rFonts w:ascii="Times New Roman" w:hAnsi="Times New Roman"/>
        </w:rPr>
      </w:r>
    </w:p>
    <w:p>
      <w:pPr>
        <w:pStyle w:val="style0"/>
        <w:jc w:val="both"/>
        <w:spacing w:line="360" w:lineRule="atLeast"/>
      </w:pPr>
      <w:r>
        <w:rPr>
          <w:sz w:val="24"/>
          <w:u w:val="single"/>
          <w:szCs w:val="24"/>
          <w:rFonts w:ascii="Times New Roman" w:hAnsi="Times New Roman"/>
        </w:rPr>
        <w:t>Bibliografia</w:t>
      </w:r>
    </w:p>
    <w:p>
      <w:pPr>
        <w:pStyle w:val="style0"/>
        <w:jc w:val="both"/>
        <w:spacing w:after="120" w:before="0"/>
      </w:pPr>
      <w:r>
        <w:rPr>
          <w:sz w:val="24"/>
          <w:szCs w:val="24"/>
          <w:rFonts w:ascii="Times New Roman" w:hAnsi="Times New Roman"/>
        </w:rPr>
        <w:t xml:space="preserve">CARVALHO, José Murilo de. As Forças Armadas na Primeira República: o poder desestabilizador. In: HOLANDA, Sérgio Buarque de (org.). </w:t>
      </w:r>
      <w:r>
        <w:rPr>
          <w:sz w:val="24"/>
          <w:b/>
          <w:szCs w:val="24"/>
          <w:rFonts w:ascii="Times New Roman" w:hAnsi="Times New Roman"/>
        </w:rPr>
        <w:t>História Geral da Civilização Brasileira</w:t>
      </w:r>
      <w:r>
        <w:rPr>
          <w:sz w:val="24"/>
          <w:szCs w:val="24"/>
          <w:rFonts w:ascii="Times New Roman" w:hAnsi="Times New Roman"/>
        </w:rPr>
        <w:t>.  Tomo III, 2. vol. 3. ed. São Paulo: Difel, 1985.</w:t>
      </w:r>
    </w:p>
    <w:p>
      <w:pPr>
        <w:pStyle w:val="style0"/>
        <w:jc w:val="both"/>
        <w:spacing w:after="120" w:before="0"/>
      </w:pPr>
      <w:r>
        <w:rPr>
          <w:sz w:val="24"/>
          <w:szCs w:val="24"/>
          <w:rFonts w:ascii="Times New Roman" w:hAnsi="Times New Roman"/>
        </w:rPr>
        <w:t xml:space="preserve">CASTRO, Celso. </w:t>
      </w:r>
      <w:r>
        <w:rPr>
          <w:sz w:val="24"/>
          <w:i/>
          <w:szCs w:val="24"/>
          <w:rFonts w:ascii="Times New Roman" w:eastAsia="Times New Roman" w:hAnsi="Times New Roman"/>
          <w:lang w:eastAsia="pt-BR"/>
        </w:rPr>
        <w:t>Os militares e a República</w:t>
      </w:r>
      <w:r>
        <w:rPr>
          <w:sz w:val="24"/>
          <w:szCs w:val="24"/>
          <w:rFonts w:ascii="Times New Roman" w:eastAsia="Times New Roman" w:hAnsi="Times New Roman"/>
          <w:lang w:eastAsia="pt-BR"/>
        </w:rPr>
        <w:t>: um estudo sobre cultura e ação política. Rio de Janeiro: Jorge Zahar Ed., 1995.</w:t>
      </w:r>
    </w:p>
    <w:p>
      <w:pPr>
        <w:pStyle w:val="style0"/>
        <w:jc w:val="both"/>
        <w:spacing w:after="120" w:before="0"/>
      </w:pPr>
      <w:r>
        <w:rPr>
          <w:sz w:val="24"/>
          <w:szCs w:val="24"/>
          <w:rFonts w:ascii="Times New Roman" w:hAnsi="Times New Roman"/>
        </w:rPr>
        <w:t xml:space="preserve">GOFFMAN, Erving. </w:t>
      </w:r>
      <w:r>
        <w:rPr>
          <w:sz w:val="24"/>
          <w:i/>
          <w:szCs w:val="24"/>
          <w:rFonts w:ascii="Times New Roman" w:hAnsi="Times New Roman"/>
        </w:rPr>
        <w:t>Manicômios, prisões e conventos</w:t>
      </w:r>
      <w:r>
        <w:rPr>
          <w:sz w:val="24"/>
          <w:szCs w:val="24"/>
          <w:rFonts w:ascii="Times New Roman" w:hAnsi="Times New Roman"/>
        </w:rPr>
        <w:t>. Trad. Dante Moreira Leite. 8. ed. São Paulo: Perspectiva, 2008. (Coleção Debates; 91)</w:t>
      </w:r>
    </w:p>
    <w:p>
      <w:pPr>
        <w:pStyle w:val="style0"/>
        <w:jc w:val="both"/>
        <w:spacing w:after="120" w:before="0"/>
      </w:pPr>
      <w:r>
        <w:rPr>
          <w:sz w:val="24"/>
          <w:szCs w:val="24"/>
          <w:rFonts w:ascii="Times New Roman" w:hAnsi="Times New Roman"/>
        </w:rPr>
        <w:t>HISTÓRIA DO EXÉRCITO BRASILEIRO. Perfil militar de um povo. 3 v. Brasília: Estado Maior do Exército, 1972.</w:t>
      </w:r>
    </w:p>
    <w:p>
      <w:pPr>
        <w:pStyle w:val="style0"/>
        <w:jc w:val="both"/>
        <w:spacing w:after="120" w:before="0"/>
      </w:pPr>
      <w:r>
        <w:rPr>
          <w:sz w:val="24"/>
          <w:szCs w:val="24"/>
          <w:rFonts w:ascii="Times New Roman" w:hAnsi="Times New Roman"/>
        </w:rPr>
        <w:t xml:space="preserve">HOBSBAWM, Eric. </w:t>
      </w:r>
      <w:r>
        <w:rPr>
          <w:sz w:val="24"/>
          <w:i/>
          <w:szCs w:val="24"/>
          <w:rFonts w:ascii="Times New Roman" w:hAnsi="Times New Roman"/>
        </w:rPr>
        <w:t>A invenção das tradições</w:t>
      </w:r>
      <w:r>
        <w:rPr>
          <w:sz w:val="24"/>
          <w:szCs w:val="24"/>
          <w:rFonts w:ascii="Times New Roman" w:hAnsi="Times New Roman"/>
        </w:rPr>
        <w:t>. Rio de Janeiro: Paz e Terra, 1984.</w:t>
      </w:r>
    </w:p>
    <w:p>
      <w:pPr>
        <w:pStyle w:val="style0"/>
        <w:jc w:val="both"/>
        <w:spacing w:after="120" w:before="0"/>
      </w:pPr>
      <w:r>
        <w:rPr>
          <w:sz w:val="24"/>
          <w:szCs w:val="24"/>
          <w:rFonts w:ascii="Times New Roman" w:hAnsi="Times New Roman"/>
          <w:lang w:val="en-US"/>
        </w:rPr>
        <w:t xml:space="preserve">JACKSON, Phillip W. </w:t>
      </w:r>
      <w:r>
        <w:rPr>
          <w:sz w:val="24"/>
          <w:i/>
          <w:szCs w:val="24"/>
          <w:bCs/>
          <w:rFonts w:ascii="Times New Roman" w:hAnsi="Times New Roman"/>
          <w:lang w:val="en-US"/>
        </w:rPr>
        <w:t>Life in classrooms</w:t>
      </w:r>
      <w:r>
        <w:rPr>
          <w:sz w:val="24"/>
          <w:szCs w:val="24"/>
          <w:rFonts w:ascii="Times New Roman" w:hAnsi="Times New Roman"/>
          <w:lang w:val="en-US"/>
        </w:rPr>
        <w:t>.</w:t>
      </w:r>
      <w:r>
        <w:rPr>
          <w:sz w:val="24"/>
          <w:szCs w:val="24"/>
          <w:rFonts w:ascii="Times New Roman" w:hAnsi="Times New Roman"/>
          <w:lang w:eastAsia="pt-BR" w:val="en-US"/>
        </w:rPr>
        <w:t xml:space="preserve"> New York: Teachers College Press, 1990.</w:t>
      </w:r>
    </w:p>
    <w:p>
      <w:pPr>
        <w:pStyle w:val="style0"/>
        <w:jc w:val="both"/>
        <w:spacing w:after="120" w:before="0"/>
      </w:pPr>
      <w:r>
        <w:rPr>
          <w:sz w:val="24"/>
          <w:szCs w:val="24"/>
          <w:rFonts w:ascii="Times New Roman" w:hAnsi="Times New Roman"/>
        </w:rPr>
        <w:t xml:space="preserve">LE GOFF, Jacques. </w:t>
      </w:r>
      <w:r>
        <w:rPr>
          <w:sz w:val="24"/>
          <w:i/>
          <w:szCs w:val="24"/>
          <w:bCs/>
          <w:rFonts w:ascii="Times New Roman" w:hAnsi="Times New Roman"/>
        </w:rPr>
        <w:t>História e Memória</w:t>
      </w:r>
      <w:r>
        <w:rPr>
          <w:sz w:val="24"/>
          <w:szCs w:val="24"/>
          <w:bCs/>
          <w:rFonts w:ascii="Times New Roman" w:hAnsi="Times New Roman"/>
        </w:rPr>
        <w:t>.</w:t>
      </w:r>
      <w:r>
        <w:rPr>
          <w:sz w:val="24"/>
          <w:szCs w:val="24"/>
          <w:rFonts w:ascii="Times New Roman" w:hAnsi="Times New Roman"/>
        </w:rPr>
        <w:t xml:space="preserve"> 5. ed. Campinas: Editora da Unicamp, 2003.</w:t>
      </w:r>
    </w:p>
    <w:p>
      <w:pPr>
        <w:pStyle w:val="style0"/>
        <w:jc w:val="both"/>
        <w:spacing w:after="120" w:before="0"/>
      </w:pPr>
      <w:r>
        <w:rPr>
          <w:sz w:val="24"/>
          <w:szCs w:val="24"/>
          <w:rFonts w:ascii="Times New Roman" w:hAnsi="Times New Roman"/>
        </w:rPr>
        <w:t xml:space="preserve">LINS, Ivan. </w:t>
      </w:r>
      <w:r>
        <w:rPr>
          <w:sz w:val="24"/>
          <w:i/>
          <w:szCs w:val="24"/>
          <w:rFonts w:ascii="Times New Roman" w:hAnsi="Times New Roman"/>
        </w:rPr>
        <w:t>História do Positivismo no Brasil</w:t>
      </w:r>
      <w:r>
        <w:rPr>
          <w:sz w:val="24"/>
          <w:szCs w:val="24"/>
          <w:rFonts w:ascii="Times New Roman" w:hAnsi="Times New Roman"/>
        </w:rPr>
        <w:t>. São Paulo: Companhia Editora Nacional, 1964. (Coleção Brasiliana, 322)</w:t>
      </w:r>
    </w:p>
    <w:p>
      <w:pPr>
        <w:pStyle w:val="style0"/>
        <w:jc w:val="both"/>
        <w:spacing w:after="120" w:before="0"/>
      </w:pPr>
      <w:r>
        <w:rPr>
          <w:sz w:val="24"/>
          <w:szCs w:val="24"/>
          <w:rFonts w:ascii="Times New Roman" w:hAnsi="Times New Roman"/>
        </w:rPr>
        <w:t xml:space="preserve">LOBATO FILHO, João Bernardo. </w:t>
      </w:r>
      <w:r>
        <w:rPr>
          <w:sz w:val="24"/>
          <w:i/>
          <w:szCs w:val="24"/>
          <w:rFonts w:ascii="Times New Roman" w:hAnsi="Times New Roman"/>
        </w:rPr>
        <w:t>A última noite da Escola Militar da Praia Vermelha</w:t>
      </w:r>
      <w:r>
        <w:rPr>
          <w:sz w:val="24"/>
          <w:szCs w:val="24"/>
          <w:rFonts w:ascii="Times New Roman" w:hAnsi="Times New Roman"/>
        </w:rPr>
        <w:t>. Rio de Janeiro: Biblioteca do Exército, 1992. (Coleção General Benício; v. 289)</w:t>
      </w:r>
    </w:p>
    <w:p>
      <w:pPr>
        <w:pStyle w:val="style0"/>
        <w:jc w:val="both"/>
        <w:spacing w:after="120" w:before="0"/>
      </w:pPr>
      <w:r>
        <w:rPr>
          <w:sz w:val="24"/>
          <w:szCs w:val="24"/>
          <w:rFonts w:ascii="Times New Roman" w:hAnsi="Times New Roman"/>
        </w:rPr>
        <w:t xml:space="preserve">MARQUES, Janote Pires. A casa do amor imorredouro. História e memória da educação militar no Ceará. In: </w:t>
      </w:r>
      <w:r>
        <w:rPr>
          <w:sz w:val="24"/>
          <w:b/>
          <w:szCs w:val="24"/>
          <w:rFonts w:ascii="Times New Roman" w:hAnsi="Times New Roman"/>
        </w:rPr>
        <w:t>Revista Educare</w:t>
      </w:r>
      <w:r>
        <w:rPr>
          <w:sz w:val="24"/>
          <w:szCs w:val="24"/>
          <w:rFonts w:ascii="Times New Roman" w:hAnsi="Times New Roman"/>
        </w:rPr>
        <w:t>, v. 1, n. 1, p. 9-15, Fortaleza, 2009.</w:t>
      </w:r>
    </w:p>
    <w:p>
      <w:pPr>
        <w:pStyle w:val="style0"/>
        <w:jc w:val="both"/>
        <w:spacing w:after="120" w:before="0"/>
      </w:pPr>
      <w:r>
        <w:rPr>
          <w:sz w:val="24"/>
          <w:szCs w:val="24"/>
          <w:rFonts w:ascii="Times New Roman" w:hAnsi="Times New Roman"/>
        </w:rPr>
        <w:t xml:space="preserve">McCNANN, Frank. </w:t>
      </w:r>
      <w:r>
        <w:rPr>
          <w:sz w:val="24"/>
          <w:i/>
          <w:szCs w:val="24"/>
          <w:rFonts w:ascii="Times New Roman" w:hAnsi="Times New Roman"/>
        </w:rPr>
        <w:t>Soldados da Pátria</w:t>
      </w:r>
      <w:r>
        <w:rPr>
          <w:sz w:val="24"/>
          <w:szCs w:val="24"/>
          <w:rFonts w:ascii="Times New Roman" w:hAnsi="Times New Roman"/>
        </w:rPr>
        <w:t xml:space="preserve">. História do Exército Brasileiro (1889-1937). São Paulo: Cia das Letras; Rio de Janeiro: Bibliex, 2009. </w:t>
      </w:r>
    </w:p>
    <w:p>
      <w:pPr>
        <w:pStyle w:val="style0"/>
        <w:jc w:val="both"/>
        <w:spacing w:after="120" w:before="0"/>
      </w:pPr>
      <w:r>
        <w:rPr>
          <w:sz w:val="24"/>
          <w:szCs w:val="24"/>
          <w:rFonts w:ascii="Times New Roman" w:hAnsi="Times New Roman"/>
        </w:rPr>
        <w:t xml:space="preserve">MARTINHO RODRIGUES, Rui. Teorias, fontes e períodos na pesquisa histórica. In: CAVALCANTI, M. J. M.; VASCONCELOS JR, R. E. de P.; e ARAÚJO, J. E. C.; e QUEIROZ, Z. F. de (Org.). </w:t>
      </w:r>
      <w:r>
        <w:rPr>
          <w:sz w:val="24"/>
          <w:b/>
          <w:szCs w:val="24"/>
          <w:rFonts w:ascii="Times New Roman" w:hAnsi="Times New Roman"/>
        </w:rPr>
        <w:t>História da Educação.</w:t>
      </w:r>
      <w:r>
        <w:rPr>
          <w:sz w:val="24"/>
          <w:szCs w:val="24"/>
          <w:rFonts w:ascii="Times New Roman" w:hAnsi="Times New Roman"/>
        </w:rPr>
        <w:t xml:space="preserve"> </w:t>
      </w:r>
      <w:r>
        <w:rPr>
          <w:sz w:val="24"/>
          <w:b/>
          <w:szCs w:val="24"/>
          <w:rFonts w:ascii="Times New Roman" w:hAnsi="Times New Roman"/>
        </w:rPr>
        <w:t>Vitrais da memória. Lugares, imagens e práticas culturais</w:t>
      </w:r>
      <w:r>
        <w:rPr>
          <w:sz w:val="24"/>
          <w:szCs w:val="24"/>
          <w:rFonts w:ascii="Times New Roman" w:hAnsi="Times New Roman"/>
        </w:rPr>
        <w:t>. Fortaleza: Edições UFC, 2008, p. 435-454. (Coleção Diálogos Intempestivos, 55)</w:t>
      </w:r>
    </w:p>
    <w:p>
      <w:pPr>
        <w:pStyle w:val="style0"/>
        <w:jc w:val="both"/>
        <w:spacing w:after="120" w:before="0"/>
      </w:pPr>
      <w:r>
        <w:rPr>
          <w:sz w:val="24"/>
          <w:szCs w:val="24"/>
          <w:rFonts w:ascii="Times New Roman" w:hAnsi="Times New Roman"/>
        </w:rPr>
        <w:t xml:space="preserve">______. </w:t>
      </w:r>
      <w:r>
        <w:rPr>
          <w:sz w:val="24"/>
          <w:i/>
          <w:szCs w:val="24"/>
          <w:rFonts w:ascii="Times New Roman" w:hAnsi="Times New Roman"/>
        </w:rPr>
        <w:t>Pesquisa Acadêmica</w:t>
      </w:r>
      <w:r>
        <w:rPr>
          <w:sz w:val="24"/>
          <w:szCs w:val="24"/>
          <w:rFonts w:ascii="Times New Roman" w:hAnsi="Times New Roman"/>
        </w:rPr>
        <w:t>. Como facilitar o processo de preparação de suas etapas. São Paulo: Atlas, 2007.</w:t>
      </w:r>
    </w:p>
    <w:p>
      <w:pPr>
        <w:pStyle w:val="style0"/>
        <w:jc w:val="both"/>
        <w:spacing w:after="120" w:before="0"/>
      </w:pPr>
      <w:r>
        <w:rPr>
          <w:sz w:val="24"/>
          <w:szCs w:val="24"/>
          <w:rFonts w:ascii="Times New Roman" w:hAnsi="Times New Roman"/>
        </w:rPr>
        <w:t xml:space="preserve">MEDEIROS, Laudelino T. </w:t>
      </w:r>
      <w:r>
        <w:rPr>
          <w:sz w:val="24"/>
          <w:i/>
          <w:szCs w:val="24"/>
          <w:rFonts w:ascii="Times New Roman" w:hAnsi="Times New Roman"/>
        </w:rPr>
        <w:t>Escola Militar de Porto Alegre</w:t>
      </w:r>
      <w:r>
        <w:rPr>
          <w:sz w:val="24"/>
          <w:szCs w:val="24"/>
          <w:rFonts w:ascii="Times New Roman" w:hAnsi="Times New Roman"/>
        </w:rPr>
        <w:t>. Significado cultural. Porto Alegre: Ed. da UFRGS, 1992.</w:t>
      </w:r>
    </w:p>
    <w:p>
      <w:pPr>
        <w:pStyle w:val="style0"/>
        <w:jc w:val="both"/>
        <w:spacing w:after="120" w:before="0"/>
      </w:pPr>
      <w:r>
        <w:rPr>
          <w:sz w:val="24"/>
          <w:szCs w:val="24"/>
          <w:rFonts w:ascii="Times New Roman" w:hAnsi="Times New Roman"/>
        </w:rPr>
        <w:t xml:space="preserve">MENEZES, Raimundo. </w:t>
      </w:r>
      <w:r>
        <w:rPr>
          <w:sz w:val="24"/>
          <w:i/>
          <w:szCs w:val="24"/>
          <w:iCs/>
          <w:rFonts w:ascii="Times New Roman" w:hAnsi="Times New Roman"/>
        </w:rPr>
        <w:t>Coisas que o tempo levou</w:t>
      </w:r>
      <w:r>
        <w:rPr>
          <w:sz w:val="24"/>
          <w:szCs w:val="24"/>
          <w:rFonts w:ascii="Times New Roman" w:hAnsi="Times New Roman"/>
        </w:rPr>
        <w:t>. Crônicas históricas da Fortaleza antiga. 2. ed. São Paulo: Hucitec, 1977.</w:t>
      </w:r>
    </w:p>
    <w:p>
      <w:pPr>
        <w:pStyle w:val="style0"/>
        <w:jc w:val="both"/>
        <w:spacing w:after="120" w:before="0"/>
      </w:pPr>
      <w:r>
        <w:rPr>
          <w:sz w:val="24"/>
          <w:szCs w:val="24"/>
          <w:rFonts w:ascii="Times New Roman" w:hAnsi="Times New Roman"/>
        </w:rPr>
        <w:t xml:space="preserve">MOTTA, Jehovah. </w:t>
      </w:r>
      <w:r>
        <w:rPr>
          <w:sz w:val="24"/>
          <w:i/>
          <w:szCs w:val="24"/>
          <w:rFonts w:ascii="Times New Roman" w:hAnsi="Times New Roman"/>
        </w:rPr>
        <w:t>Formação do oficial do exército</w:t>
      </w:r>
      <w:r>
        <w:rPr>
          <w:sz w:val="24"/>
          <w:szCs w:val="24"/>
          <w:rFonts w:ascii="Times New Roman" w:hAnsi="Times New Roman"/>
        </w:rPr>
        <w:t>: currículos e regimes na Academia Militar (1818-1944). Rio de Janeiro: Biblioteca do Exército,  1998.</w:t>
      </w:r>
    </w:p>
    <w:p>
      <w:pPr>
        <w:pStyle w:val="style0"/>
        <w:jc w:val="both"/>
        <w:spacing w:after="120" w:before="0" w:line="360" w:lineRule="atLeast"/>
      </w:pPr>
      <w:r>
        <w:rPr/>
      </w:r>
    </w:p>
    <w:sectPr>
      <w:formProt w:val="off"/>
      <w:pgSz w:h="16838" w:w="11906"/>
      <w:docGrid w:charSpace="4096" w:linePitch="240" w:type="default"/>
      <w:textDirection w:val="lrTb"/>
      <w:pgNumType w:fmt="decimal"/>
      <w:type w:val="nextPage"/>
      <w:pgMar w:bottom="709" w:left="1418" w:right="1418" w:top="709"/>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80"/>
    <w:family w:val="roman"/>
    <w:pitch w:val="variable"/>
  </w:font>
  <w:font w:name="Calibri">
    <w:charset w:val="80"/>
    <w:family w:val="roman"/>
    <w:pitch w:val="variable"/>
  </w:font>
</w:fonts>
</file>

<file path=word/footnotes.xml><?xml version="1.0" encoding="utf-8"?>
<w:footnotes xmlns:w="http://schemas.openxmlformats.org/wordprocessingml/2006/main">
  <w:footnote w:id="0" w:type="separator">
    <w:p>
      <w:r>
        <w:separator/>
      </w:r>
    </w:p>
  </w:footnote>
  <w:footnote w:id="1" w:type="continuationSeparator">
    <w:p>
      <w:r>
        <w:continuationSeparator/>
      </w:r>
    </w:p>
  </w:footnote>
  <w:footnote w:id="2">
    <w:p>
      <w:pPr>
        <w:pStyle w:val="style0"/>
        <w:jc w:val="both"/>
        <w:ind w:hanging="170" w:left="170" w:right="0"/>
      </w:pPr>
      <w:r>
        <w:rPr>
          <w:rStyle w:val="style19"/>
          <w:sz w:val="20"/>
          <w:szCs w:val="20"/>
          <w:rFonts w:ascii="Times New Roman" w:hAnsi="Times New Roman"/>
        </w:rPr>
        <w:tab/>
      </w:r>
      <w:r>
        <w:rPr>
          <w:sz w:val="20"/>
          <w:szCs w:val="20"/>
          <w:rFonts w:ascii="Times New Roman" w:hAnsi="Times New Roman"/>
        </w:rPr>
        <w:t xml:space="preserve"> </w:t>
      </w:r>
      <w:r>
        <w:rPr>
          <w:sz w:val="20"/>
          <w:szCs w:val="20"/>
          <w:rFonts w:ascii="Times New Roman" w:hAnsi="Times New Roman"/>
        </w:rPr>
        <w:t xml:space="preserve">Arquivo Histórico do Exército (AHEx), Escola Militar do Ceará (EMC), </w:t>
      </w:r>
      <w:r>
        <w:rPr>
          <w:sz w:val="20"/>
          <w:i/>
          <w:szCs w:val="20"/>
          <w:rFonts w:ascii="Times New Roman" w:hAnsi="Times New Roman"/>
        </w:rPr>
        <w:t>Escalas de Serviço e de Alterações de Alumnos</w:t>
      </w:r>
      <w:r>
        <w:rPr>
          <w:sz w:val="20"/>
          <w:szCs w:val="20"/>
          <w:rFonts w:ascii="Times New Roman" w:hAnsi="Times New Roman"/>
        </w:rPr>
        <w:t xml:space="preserve">, maio, 1897. [As próximas citações com esse tipo de fonte serão referenciadas no texto da seguinte forma: (AHEx, EMC, </w:t>
      </w:r>
      <w:r>
        <w:rPr>
          <w:sz w:val="20"/>
          <w:i/>
          <w:szCs w:val="20"/>
          <w:rFonts w:ascii="Times New Roman" w:hAnsi="Times New Roman"/>
        </w:rPr>
        <w:t>Escalas de Alterações</w:t>
      </w:r>
      <w:r>
        <w:rPr>
          <w:sz w:val="20"/>
          <w:szCs w:val="20"/>
          <w:rFonts w:ascii="Times New Roman" w:hAnsi="Times New Roman"/>
        </w:rPr>
        <w:t>, mês, ano).]</w:t>
      </w:r>
    </w:p>
    <w:p>
      <w:pPr>
        <w:pStyle w:val="style42"/>
      </w:pPr>
      <w:r>
        <w:rPr/>
      </w:r>
    </w:p>
  </w:footnote>
  <w:footnote w:id="3">
    <w:p>
      <w:pPr>
        <w:pStyle w:val="style38"/>
        <w:jc w:val="both"/>
        <w:ind w:hanging="170" w:left="170" w:right="0"/>
        <w:spacing w:after="0" w:before="28"/>
      </w:pPr>
      <w:r>
        <w:rPr>
          <w:rStyle w:val="style19"/>
          <w:sz w:val="20"/>
          <w:szCs w:val="20"/>
          <w:rFonts w:ascii="Times New Roman" w:hAnsi="Times New Roman"/>
        </w:rPr>
        <w:tab/>
      </w:r>
      <w:r>
        <w:rPr>
          <w:sz w:val="20"/>
          <w:szCs w:val="20"/>
          <w:rFonts w:ascii="Times New Roman" w:hAnsi="Times New Roman"/>
          <w:lang w:val="pt-BR"/>
        </w:rPr>
        <w:t xml:space="preserve"> </w:t>
      </w:r>
      <w:r>
        <w:rPr>
          <w:sz w:val="20"/>
          <w:szCs w:val="20"/>
          <w:rFonts w:ascii="Times New Roman" w:hAnsi="Times New Roman"/>
          <w:lang w:val="pt-BR"/>
        </w:rPr>
        <w:t>A noção de “tática” é considerada nesse texto a partir do pensamento de Michel de Certeau (1994</w:t>
      </w:r>
      <w:r>
        <w:rPr>
          <w:sz w:val="20"/>
          <w:szCs w:val="20"/>
          <w:bCs/>
          <w:rFonts w:ascii="Times New Roman" w:hAnsi="Times New Roman"/>
          <w:lang w:val="pt-BR"/>
        </w:rPr>
        <w:t>)</w:t>
      </w:r>
      <w:r>
        <w:rPr>
          <w:sz w:val="20"/>
          <w:szCs w:val="20"/>
          <w:rFonts w:ascii="Times New Roman" w:hAnsi="Times New Roman"/>
          <w:lang w:val="pt-BR"/>
        </w:rPr>
        <w:t xml:space="preserve">. </w:t>
      </w:r>
    </w:p>
    <w:p>
      <w:pPr>
        <w:pStyle w:val="style42"/>
      </w:pPr>
      <w:r>
        <w:rPr/>
      </w:r>
    </w:p>
  </w:footnote>
  <w:footnote w:id="4">
    <w:p>
      <w:pPr>
        <w:pStyle w:val="style0"/>
        <w:jc w:val="both"/>
        <w:ind w:hanging="170" w:left="170" w:right="0"/>
      </w:pPr>
      <w:r>
        <w:rPr>
          <w:rStyle w:val="style19"/>
          <w:sz w:val="20"/>
          <w:szCs w:val="20"/>
          <w:rFonts w:ascii="Times New Roman" w:hAnsi="Times New Roman"/>
        </w:rPr>
        <w:tab/>
      </w:r>
      <w:r>
        <w:rPr>
          <w:sz w:val="20"/>
          <w:szCs w:val="20"/>
          <w:rFonts w:ascii="Times New Roman" w:hAnsi="Times New Roman"/>
        </w:rPr>
        <w:t xml:space="preserve"> </w:t>
      </w:r>
      <w:r>
        <w:rPr>
          <w:sz w:val="20"/>
          <w:szCs w:val="20"/>
          <w:rFonts w:ascii="Times New Roman" w:hAnsi="Times New Roman"/>
        </w:rPr>
        <w:t xml:space="preserve">Cf. os regulamentos das escolas militares (incluindo o da EMC) do final do século XIX: </w:t>
      </w:r>
      <w:r>
        <w:rPr>
          <w:sz w:val="20"/>
          <w:i/>
          <w:szCs w:val="20"/>
          <w:rFonts w:ascii="Times New Roman" w:hAnsi="Times New Roman"/>
        </w:rPr>
        <w:t>Decreto nº 10.203, de 09 de março de 1889</w:t>
      </w:r>
      <w:r>
        <w:rPr>
          <w:sz w:val="20"/>
          <w:szCs w:val="20"/>
          <w:rFonts w:ascii="Times New Roman" w:hAnsi="Times New Roman"/>
        </w:rPr>
        <w:t xml:space="preserve"> (Regulamento para as Escolas do Exército). In: </w:t>
      </w:r>
      <w:r>
        <w:rPr>
          <w:sz w:val="20"/>
          <w:b/>
          <w:szCs w:val="20"/>
          <w:rFonts w:ascii="Times New Roman" w:hAnsi="Times New Roman"/>
        </w:rPr>
        <w:t>Colleção das Leis do Imperio do Brasil do ano de 1889</w:t>
      </w:r>
      <w:r>
        <w:rPr>
          <w:sz w:val="20"/>
          <w:szCs w:val="20"/>
          <w:rFonts w:ascii="Times New Roman" w:hAnsi="Times New Roman"/>
        </w:rPr>
        <w:t xml:space="preserve">. Vol. I. p. 259-309. Rio de Janeiro: Imprensa Nacional, 1889; e </w:t>
      </w:r>
      <w:r>
        <w:rPr>
          <w:sz w:val="20"/>
          <w:i/>
          <w:szCs w:val="20"/>
          <w:rFonts w:ascii="Times New Roman" w:hAnsi="Times New Roman"/>
        </w:rPr>
        <w:t>Decreto nº 330, de 12 de abril de 1890</w:t>
      </w:r>
      <w:r>
        <w:rPr>
          <w:sz w:val="20"/>
          <w:szCs w:val="20"/>
          <w:rFonts w:ascii="Times New Roman" w:hAnsi="Times New Roman"/>
        </w:rPr>
        <w:t>, op. cit.</w:t>
      </w:r>
    </w:p>
    <w:p>
      <w:pPr>
        <w:pStyle w:val="style42"/>
      </w:pPr>
      <w:r>
        <w:rPr/>
      </w:r>
    </w:p>
  </w:footnote>
  <w:footnote w:id="5">
    <w:p>
      <w:pPr>
        <w:pStyle w:val="style0"/>
        <w:jc w:val="both"/>
        <w:widowControl/>
      </w:pPr>
      <w:r>
        <w:rPr>
          <w:rStyle w:val="style19"/>
          <w:sz w:val="20"/>
          <w:szCs w:val="20"/>
          <w:rFonts w:ascii="Times New Roman" w:hAnsi="Times New Roman"/>
        </w:rPr>
        <w:tab/>
      </w:r>
      <w:r>
        <w:rPr>
          <w:sz w:val="20"/>
          <w:szCs w:val="20"/>
          <w:rFonts w:ascii="Times New Roman" w:hAnsi="Times New Roman"/>
        </w:rPr>
        <w:t xml:space="preserve"> </w:t>
      </w:r>
      <w:r>
        <w:rPr>
          <w:sz w:val="20"/>
          <w:szCs w:val="20"/>
          <w:rFonts w:ascii="Times New Roman" w:hAnsi="Times New Roman"/>
        </w:rPr>
        <w:t xml:space="preserve">Referimo-nos aqui a duas extensas séries de documentos produzidos pelas escolas militares: as </w:t>
      </w:r>
      <w:r>
        <w:rPr>
          <w:sz w:val="20"/>
          <w:i/>
          <w:szCs w:val="20"/>
          <w:rFonts w:ascii="Times New Roman" w:hAnsi="Times New Roman"/>
        </w:rPr>
        <w:t>Ordens do dia</w:t>
      </w:r>
      <w:r>
        <w:rPr>
          <w:sz w:val="20"/>
          <w:szCs w:val="20"/>
          <w:rFonts w:ascii="Times New Roman" w:hAnsi="Times New Roman"/>
        </w:rPr>
        <w:t xml:space="preserve">, que registravam diariamente as atividades administrativas e pedagógicas da escola; e as </w:t>
      </w:r>
      <w:r>
        <w:rPr>
          <w:sz w:val="20"/>
          <w:i/>
          <w:szCs w:val="20"/>
          <w:rFonts w:ascii="Times New Roman" w:hAnsi="Times New Roman"/>
        </w:rPr>
        <w:t>Escalas de serviço e alterações de alunos</w:t>
      </w:r>
      <w:r>
        <w:rPr>
          <w:sz w:val="20"/>
          <w:szCs w:val="20"/>
          <w:rFonts w:ascii="Times New Roman" w:hAnsi="Times New Roman"/>
        </w:rPr>
        <w:t>, que registravam mais especificamente dados dos alunos, dentre eles os atos considerados de indisciplina. Esses documentos estão sob a guarda do Arquivo Histórico do Exército (AHEx), na cidade do Rio de Janeiro.</w:t>
      </w:r>
    </w:p>
    <w:p>
      <w:pPr>
        <w:pStyle w:val="style42"/>
      </w:pPr>
      <w:r>
        <w:rPr/>
      </w:r>
    </w:p>
  </w:footnote>
  <w:footnote w:id="6">
    <w:p>
      <w:pPr>
        <w:pStyle w:val="style0"/>
        <w:jc w:val="both"/>
        <w:widowControl/>
      </w:pPr>
      <w:r>
        <w:rPr>
          <w:rStyle w:val="style19"/>
          <w:sz w:val="20"/>
          <w:szCs w:val="20"/>
          <w:rFonts w:ascii="Times New Roman" w:hAnsi="Times New Roman"/>
        </w:rPr>
        <w:tab/>
      </w:r>
      <w:r>
        <w:rPr>
          <w:sz w:val="20"/>
          <w:szCs w:val="20"/>
          <w:rFonts w:ascii="Times New Roman" w:hAnsi="Times New Roman"/>
        </w:rPr>
        <w:t xml:space="preserve"> </w:t>
      </w:r>
      <w:r>
        <w:rPr>
          <w:sz w:val="20"/>
          <w:szCs w:val="20"/>
          <w:rFonts w:ascii="Times New Roman" w:hAnsi="Times New Roman"/>
        </w:rPr>
        <w:t xml:space="preserve">Cf. </w:t>
      </w:r>
      <w:r>
        <w:rPr>
          <w:sz w:val="20"/>
          <w:i/>
          <w:szCs w:val="20"/>
          <w:rFonts w:ascii="Times New Roman" w:hAnsi="Times New Roman"/>
        </w:rPr>
        <w:t>Escalas de serviço e alterações de alunos</w:t>
      </w:r>
      <w:r>
        <w:rPr>
          <w:sz w:val="20"/>
          <w:szCs w:val="20"/>
          <w:rFonts w:ascii="Times New Roman" w:hAnsi="Times New Roman"/>
        </w:rPr>
        <w:t>, Escola Militar do Ceará, mensal, ano de 1889. Acervo do Arquivo Histórico do Exército (AHEx).</w:t>
      </w:r>
    </w:p>
    <w:p>
      <w:pPr>
        <w:pStyle w:val="style42"/>
      </w:pPr>
      <w:r>
        <w:rPr/>
      </w:r>
    </w:p>
  </w:footnote>
  <w:footnote w:id="7">
    <w:p>
      <w:pPr>
        <w:pStyle w:val="style0"/>
        <w:jc w:val="both"/>
      </w:pPr>
      <w:r>
        <w:rPr>
          <w:rStyle w:val="style19"/>
          <w:sz w:val="20"/>
          <w:szCs w:val="20"/>
          <w:rFonts w:ascii="Times New Roman" w:hAnsi="Times New Roman"/>
        </w:rPr>
        <w:tab/>
      </w:r>
      <w:r>
        <w:rPr>
          <w:sz w:val="20"/>
          <w:szCs w:val="20"/>
          <w:rFonts w:ascii="Times New Roman" w:hAnsi="Times New Roman"/>
        </w:rPr>
        <w:t xml:space="preserve"> </w:t>
      </w:r>
      <w:r>
        <w:rPr>
          <w:sz w:val="20"/>
          <w:szCs w:val="20"/>
          <w:rFonts w:ascii="Times New Roman" w:hAnsi="Times New Roman"/>
        </w:rPr>
        <w:t xml:space="preserve">Esta informação é registrada por: MEDEIROS, Laudelino T. </w:t>
      </w:r>
      <w:r>
        <w:rPr>
          <w:sz w:val="20"/>
          <w:i/>
          <w:szCs w:val="20"/>
          <w:rFonts w:ascii="Times New Roman" w:hAnsi="Times New Roman"/>
        </w:rPr>
        <w:t>Escola Militar de Porto Alegre</w:t>
      </w:r>
      <w:r>
        <w:rPr>
          <w:sz w:val="20"/>
          <w:szCs w:val="20"/>
          <w:rFonts w:ascii="Times New Roman" w:hAnsi="Times New Roman"/>
        </w:rPr>
        <w:t>. Significado cultural. Porto Alegre: Ed. da UFRGS, 1992.</w:t>
      </w:r>
    </w:p>
    <w:p>
      <w:pPr>
        <w:pStyle w:val="style42"/>
      </w:pPr>
      <w:r>
        <w:rPr/>
      </w:r>
    </w:p>
  </w:footnote>
  <w:footnote w:id="8">
    <w:p>
      <w:pPr>
        <w:pStyle w:val="style0"/>
        <w:jc w:val="both"/>
        <w:widowControl/>
      </w:pPr>
      <w:r>
        <w:rPr>
          <w:rStyle w:val="style19"/>
          <w:sz w:val="20"/>
          <w:szCs w:val="20"/>
          <w:rFonts w:ascii="Times New Roman" w:hAnsi="Times New Roman"/>
        </w:rPr>
        <w:tab/>
      </w:r>
      <w:r>
        <w:rPr>
          <w:sz w:val="20"/>
          <w:szCs w:val="20"/>
          <w:rFonts w:ascii="Times New Roman" w:hAnsi="Times New Roman"/>
        </w:rPr>
        <w:t xml:space="preserve"> </w:t>
      </w:r>
      <w:r>
        <w:rPr>
          <w:sz w:val="20"/>
          <w:szCs w:val="20"/>
          <w:rFonts w:ascii="Times New Roman" w:hAnsi="Times New Roman"/>
        </w:rPr>
        <w:t xml:space="preserve">Cf. </w:t>
      </w:r>
      <w:r>
        <w:rPr>
          <w:sz w:val="20"/>
          <w:i/>
          <w:szCs w:val="20"/>
          <w:rFonts w:ascii="Times New Roman" w:hAnsi="Times New Roman"/>
        </w:rPr>
        <w:t>Ordens do dia</w:t>
      </w:r>
      <w:r>
        <w:rPr>
          <w:sz w:val="20"/>
          <w:szCs w:val="20"/>
          <w:rFonts w:ascii="Times New Roman" w:hAnsi="Times New Roman"/>
        </w:rPr>
        <w:t>, Escola Militar da Corte, diário, 1889. Acervo do Arquivo Histórico do Exército (AHEx).</w:t>
      </w:r>
    </w:p>
    <w:p>
      <w:pPr>
        <w:pStyle w:val="style42"/>
      </w:pPr>
      <w:r>
        <w:rPr/>
      </w:r>
    </w:p>
  </w:footnote>
  <w:footnote w:id="9">
    <w:p>
      <w:pPr>
        <w:pStyle w:val="style39"/>
        <w:jc w:val="both"/>
      </w:pPr>
      <w:r>
        <w:rPr>
          <w:rStyle w:val="style19"/>
        </w:rPr>
        <w:tab/>
      </w:r>
      <w:r>
        <w:rPr/>
        <w:t xml:space="preserve"> </w:t>
      </w:r>
      <w:r>
        <w:rPr/>
        <w:t xml:space="preserve">Referimo-nos aqui ao </w:t>
      </w:r>
      <w:r>
        <w:rPr>
          <w:i/>
        </w:rPr>
        <w:t>Decreto nº 330, de 12 de abril de 1890</w:t>
      </w:r>
      <w:r>
        <w:rPr/>
        <w:t xml:space="preserve"> (Regulamento que reorganiza o ensino nas Escolas do Exército). In: </w:t>
      </w:r>
      <w:r>
        <w:rPr>
          <w:b/>
        </w:rPr>
        <w:t>Decretos do Governo Provisório da Republica dos Estados Unidos do Brazil</w:t>
      </w:r>
      <w:r>
        <w:rPr/>
        <w:t>. 4º Fascículo, Rio de Janeiro: Imprensa Nacional, 1890, p. 550-599. Acervo do Arquivo Histórico do Exército (AHEx).</w:t>
      </w:r>
    </w:p>
    <w:p>
      <w:pPr>
        <w:pStyle w:val="style42"/>
      </w:pPr>
      <w:r>
        <w:rPr/>
      </w:r>
    </w:p>
  </w:footnote>
</w:footnotes>
</file>

<file path=word/styles.xml><?xml version="1.0" encoding="utf-8"?>
<w:styles xmlns:w="http://schemas.openxmlformats.org/wordprocessingml/2006/main">
  <w:style w:styleId="style0" w:type="paragraph">
    <w:name w:val="Padrão"/>
    <w:next w:val="style0"/>
    <w:pPr>
      <w:jc w:val="left"/>
      <w:widowControl/>
      <w:tabs>
        <w:tab w:leader="none" w:pos="709" w:val="left"/>
      </w:tabs>
      <w:suppressAutoHyphens w:val="true"/>
    </w:pPr>
    <w:rPr>
      <w:color w:val="auto"/>
      <w:sz w:val="22"/>
      <w:szCs w:val="22"/>
      <w:rFonts w:ascii="Calibri" w:cs="Times New Roman" w:eastAsia="Calibri" w:hAnsi="Calibri"/>
      <w:lang w:bidi="ar-SA" w:eastAsia="en-US" w:val="pt-BR"/>
    </w:rPr>
  </w:style>
  <w:style w:styleId="style15" w:type="character">
    <w:name w:val="Default Paragraph Font"/>
    <w:next w:val="style15"/>
    <w:rPr/>
  </w:style>
  <w:style w:styleId="style16" w:type="character">
    <w:name w:val="Ênfase forte"/>
    <w:basedOn w:val="style15"/>
    <w:next w:val="style16"/>
    <w:rPr>
      <w:b/>
      <w:bCs/>
    </w:rPr>
  </w:style>
  <w:style w:styleId="style17" w:type="character">
    <w:name w:val="Book Title"/>
    <w:basedOn w:val="style15"/>
    <w:next w:val="style17"/>
    <w:rPr/>
  </w:style>
  <w:style w:styleId="style18" w:type="character">
    <w:name w:val="Link da Internet"/>
    <w:basedOn w:val="style15"/>
    <w:next w:val="style18"/>
    <w:rPr>
      <w:color w:val="0000FF"/>
      <w:u w:val="single"/>
      <w:lang w:bidi="pt-BR" w:eastAsia="pt-BR" w:val="pt-BR"/>
    </w:rPr>
  </w:style>
  <w:style w:styleId="style19" w:type="character">
    <w:name w:val="footnote reference"/>
    <w:next w:val="style19"/>
    <w:rPr/>
  </w:style>
  <w:style w:styleId="style20" w:type="character">
    <w:name w:val="Texto de nota de rodapé Char"/>
    <w:basedOn w:val="style15"/>
    <w:next w:val="style20"/>
    <w:rPr/>
  </w:style>
  <w:style w:styleId="style21" w:type="character">
    <w:name w:val="Corpo de texto Char"/>
    <w:basedOn w:val="style15"/>
    <w:next w:val="style21"/>
    <w:rPr/>
  </w:style>
  <w:style w:styleId="style22" w:type="character">
    <w:name w:val="Cabeçalho Char"/>
    <w:basedOn w:val="style15"/>
    <w:next w:val="style22"/>
    <w:rPr/>
  </w:style>
  <w:style w:styleId="style23" w:type="character">
    <w:name w:val="Rodapé Char"/>
    <w:basedOn w:val="style15"/>
    <w:next w:val="style23"/>
    <w:rPr/>
  </w:style>
  <w:style w:styleId="style24" w:type="character">
    <w:name w:val="long_text"/>
    <w:basedOn w:val="style15"/>
    <w:next w:val="style24"/>
    <w:rPr/>
  </w:style>
  <w:style w:styleId="style25" w:type="character">
    <w:name w:val="hps"/>
    <w:basedOn w:val="style15"/>
    <w:next w:val="style25"/>
    <w:rPr/>
  </w:style>
  <w:style w:styleId="style26" w:type="character">
    <w:name w:val="ListLabel 1"/>
    <w:next w:val="style26"/>
    <w:rPr>
      <w:rFonts w:cs="Courier New"/>
    </w:rPr>
  </w:style>
  <w:style w:styleId="style27" w:type="character">
    <w:name w:val="Caracteres de nota de rodapé"/>
    <w:next w:val="style27"/>
    <w:rPr/>
  </w:style>
  <w:style w:styleId="style28" w:type="character">
    <w:name w:val="Âncora de nota de rodapé"/>
    <w:next w:val="style28"/>
    <w:rPr>
      <w:vertAlign w:val="superscript"/>
    </w:rPr>
  </w:style>
  <w:style w:styleId="style29" w:type="character">
    <w:name w:val="Âncora de nota de fim"/>
    <w:next w:val="style29"/>
    <w:rPr>
      <w:vertAlign w:val="superscript"/>
    </w:rPr>
  </w:style>
  <w:style w:styleId="style30" w:type="character">
    <w:name w:val="Caracteres de nota de fim"/>
    <w:next w:val="style30"/>
    <w:rPr/>
  </w:style>
  <w:style w:styleId="style31" w:type="paragraph">
    <w:name w:val="Título"/>
    <w:basedOn w:val="style0"/>
    <w:next w:val="style32"/>
    <w:pPr>
      <w:keepNext/>
      <w:spacing w:after="120" w:before="240"/>
    </w:pPr>
    <w:rPr>
      <w:sz w:val="28"/>
      <w:szCs w:val="28"/>
      <w:rFonts w:ascii="Liberation Sans" w:cs="Lohit Hindi" w:eastAsia="DejaVu Sans" w:hAnsi="Liberation Sans"/>
    </w:rPr>
  </w:style>
  <w:style w:styleId="style32" w:type="paragraph">
    <w:name w:val="Corpo de texto"/>
    <w:basedOn w:val="style0"/>
    <w:next w:val="style32"/>
    <w:pPr>
      <w:jc w:val="both"/>
    </w:pPr>
    <w:rPr>
      <w:sz w:val="24"/>
      <w:szCs w:val="20"/>
      <w:rFonts w:ascii="Times New Roman" w:eastAsia="Times New Roman" w:hAnsi="Times New Roman"/>
      <w:lang w:eastAsia="pt-BR" w:val="en-US"/>
    </w:rPr>
  </w:style>
  <w:style w:styleId="style33" w:type="paragraph">
    <w:name w:val="Lista"/>
    <w:basedOn w:val="style32"/>
    <w:next w:val="style33"/>
    <w:pPr/>
    <w:rPr>
      <w:rFonts w:cs="Lohit Hindi"/>
    </w:rPr>
  </w:style>
  <w:style w:styleId="style34" w:type="paragraph">
    <w:name w:val="Legenda"/>
    <w:basedOn w:val="style0"/>
    <w:next w:val="style34"/>
    <w:pPr>
      <w:suppressLineNumbers/>
      <w:spacing w:after="120" w:before="120"/>
    </w:pPr>
    <w:rPr>
      <w:sz w:val="24"/>
      <w:i/>
      <w:szCs w:val="24"/>
      <w:iCs/>
      <w:rFonts w:cs="Lohit Hindi"/>
    </w:rPr>
  </w:style>
  <w:style w:styleId="style35" w:type="paragraph">
    <w:name w:val="Índice"/>
    <w:basedOn w:val="style0"/>
    <w:next w:val="style35"/>
    <w:pPr>
      <w:suppressLineNumbers/>
    </w:pPr>
    <w:rPr>
      <w:rFonts w:cs="Lohit Hindi"/>
    </w:rPr>
  </w:style>
  <w:style w:styleId="style36" w:type="paragraph">
    <w:name w:val="List Paragraph"/>
    <w:basedOn w:val="style0"/>
    <w:next w:val="style36"/>
    <w:pPr/>
    <w:rPr/>
  </w:style>
  <w:style w:styleId="style37" w:type="paragraph">
    <w:name w:val="Normal (Web)"/>
    <w:basedOn w:val="style0"/>
    <w:next w:val="style37"/>
    <w:pPr/>
    <w:rPr/>
  </w:style>
  <w:style w:styleId="style38" w:type="paragraph">
    <w:name w:val="western"/>
    <w:basedOn w:val="style0"/>
    <w:next w:val="style38"/>
    <w:pPr/>
    <w:rPr/>
  </w:style>
  <w:style w:styleId="style39" w:type="paragraph">
    <w:name w:val="footnote text"/>
    <w:basedOn w:val="style0"/>
    <w:next w:val="style39"/>
    <w:pPr/>
    <w:rPr/>
  </w:style>
  <w:style w:styleId="style40" w:type="paragraph">
    <w:name w:val="Cabeçalho"/>
    <w:basedOn w:val="style0"/>
    <w:next w:val="style40"/>
    <w:pPr>
      <w:tabs>
        <w:tab w:leader="none" w:pos="4252" w:val="center"/>
        <w:tab w:leader="none" w:pos="8504" w:val="right"/>
      </w:tabs>
      <w:suppressLineNumbers/>
    </w:pPr>
    <w:rPr/>
  </w:style>
  <w:style w:styleId="style41" w:type="paragraph">
    <w:name w:val="Rodapé"/>
    <w:basedOn w:val="style0"/>
    <w:next w:val="style41"/>
    <w:pPr>
      <w:tabs>
        <w:tab w:leader="none" w:pos="4252" w:val="center"/>
        <w:tab w:leader="none" w:pos="8504" w:val="right"/>
      </w:tabs>
      <w:suppressLineNumbers/>
    </w:pPr>
    <w:rPr/>
  </w:style>
  <w:style w:styleId="style42" w:type="paragraph">
    <w:name w:val="Nota de rodapé"/>
    <w:basedOn w:val="style0"/>
    <w:next w:val="style42"/>
    <w:pPr>
      <w:ind w:hanging="283" w:left="283" w:right="0"/>
      <w:suppressLineNumbers/>
    </w:pPr>
    <w:rPr>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janotepires@hotmail.com" TargetMode="External"/><Relationship Id="rId3" Type="http://schemas.openxmlformats.org/officeDocument/2006/relationships/footnotes" Target="footnotes.xml"/><Relationship Id="rId4" Type="http://schemas.openxmlformats.org/officeDocument/2006/relationships/fontTable" Target="fontTable.xml"/>
</Relationships>
</file>

<file path=docProps/app.xml><?xml version="1.0" encoding="utf-8"?>
<Properties xmlns="http://schemas.openxmlformats.org/officeDocument/2006/extended-properties" xmlns:vt="http://schemas.openxmlformats.org/officeDocument/2006/docPropsVTypes">
  <Template>Normal.dotm</Template>
  <TotalTime>177</TotalTime>
  <Application>Microsoft Office Word</Application>
</Properties>
</file>

<file path=docProps/core.xml><?xml version="1.0" encoding="utf-8"?>
<cp:coreProperties xmlns:cp="http://schemas.openxmlformats.org/package/2006/metadata/core-properties" xmlns:dc="http://purl.org/dc/elements/1.1/" xmlns:dcmitype="http://purl.org/dc/dcmitype/" xmlns:dcterms="http://purl.org/dc/terms/" xmlns:xsi="http://www.w3.org/2001/XMLSchema-instance">
  <dcterms:created xsi:type="dcterms:W3CDTF">2012-10-03T00:42:00.00Z</dcterms:created>
  <dc:creator>USUARIO</dc:creator>
  <cp:lastModifiedBy>USUARIO</cp:lastModifiedBy>
  <cp:lastPrinted>2011-08-03T01:02:00.00Z</cp:lastPrinted>
  <dcterms:modified xsi:type="dcterms:W3CDTF">2012-10-09T22:04:00.00Z</dcterms:modified>
  <cp:revision>46</cp:revision>
</cp:coreProperties>
</file>