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AS AÇÕES DIÁRIAS E AS ESTRATÉGIAS DE LUTA DO COMITÊ BRASILEIRO PELA ANISTIA (CBA-CE), NO CEARÁ (1975 a 1980)</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André Pinheiro de Souza</w:t>
      </w:r>
      <w:r>
        <w:rPr>
          <w:rStyle w:val="FootnoteReference"/>
          <w:rFonts w:ascii="Times New Roman" w:hAnsi="Times New Roman"/>
          <w:b/>
          <w:sz w:val="24"/>
          <w:szCs w:val="24"/>
        </w:rPr>
        <w:footnoteReference w:id="1"/>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Orientador: Dr. João Rameres Regis</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RESUMO </w:t>
      </w:r>
    </w:p>
    <w:p w:rsidR="00DA0AB2" w:rsidRDefault="00DA0AB2" w:rsidP="00683D42">
      <w:pPr>
        <w:spacing w:line="360" w:lineRule="auto"/>
        <w:jc w:val="both"/>
        <w:rPr>
          <w:rFonts w:ascii="Times New Roman" w:hAnsi="Times New Roman"/>
          <w:b/>
          <w:sz w:val="24"/>
          <w:szCs w:val="24"/>
        </w:rPr>
      </w:pP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Temos por objetivo com essa pesquisa, analisar o surgimento e desenvolvimento do Movimento Pela Anistia Política no Ceará de 1975 a 1980. O estudo busca evidenciar as ações de segmentos da sociedade civil que estavam direta e indiretamente ligados ao Movimento Pela Anistia, já que um Movimento Social é uma ação coletiva. A pesquisa trabalha com esses “novos sujeitos sociais” (as mulheres), que estavam entrando em cena naquela conturbada conjuntura política do final dos anos 1970, por meio do Movimento Feminino Pela Anistia (MFPA-CE) e do Comitê Brasileiro Pela Anistia (CBA-CE). Uma preocupação que fica evidenciada ainda é com a disputa dessa memória desses “novos sujeitos sociais”, tanto a memória individual quanto a coletiva dos envolvidos nessa luta do desenvolvimento pela Anistia Política e do processo histórico em suas próprias entidades (MFPA-CE) X (CBA-CE). As fontes utilizadas nessa pesquisa foram os jornais tanto da chamada “grande imprensa” quanto da imprensa alternativa, obedecendo ao recorte temporal, já citado, entrevistas, literatura de cordel, panfletos, convites para atividades envolvendo o tema pesquisado, documentos da “repressão”, ou seja, documentos elaborados por iniciativa do Estado como, por exemplo, I.P.M.s (Inquéritos policiais Militares), documentos da D.O.P.S. (Delegacia de Ordem e Política Social), Ofícios, Laudo do IML. O confronto dessas diferentes fontes foi enriquecedor, na medida em que encontramos várias perspectivas sobre o assunto estudado. </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Palavras – chave: Movimento Social, Mulheres, Memória, Anistia. </w:t>
      </w:r>
    </w:p>
    <w:p w:rsidR="00DA0AB2" w:rsidRDefault="00DA0AB2" w:rsidP="00683D42">
      <w:pPr>
        <w:spacing w:line="360" w:lineRule="auto"/>
        <w:jc w:val="both"/>
        <w:rPr>
          <w:rFonts w:ascii="Times New Roman" w:hAnsi="Times New Roman"/>
          <w:b/>
          <w:sz w:val="24"/>
          <w:szCs w:val="24"/>
        </w:rPr>
      </w:pPr>
      <w:r>
        <w:rPr>
          <w:rFonts w:ascii="Times New Roman" w:hAnsi="Times New Roman"/>
          <w:b/>
          <w:sz w:val="24"/>
          <w:szCs w:val="24"/>
        </w:rPr>
        <w:t xml:space="preserve">              INTRODUÇÃO</w:t>
      </w:r>
    </w:p>
    <w:p w:rsidR="00DA0AB2" w:rsidRDefault="00DA0AB2" w:rsidP="00683D42">
      <w:pPr>
        <w:spacing w:line="360" w:lineRule="auto"/>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O presente estudo tem como objetivo analisar o surgimento do Movimento pela Anistia Política no Ceará nos anos de 1976-1979. Com isso delimitamos o período de estudo do Movimento pela Anistia Política no Ceará, começando em 1976 e indo até o ano de 1979. O primeiro é o ano da fundação do MFPA-CE (Movimento Feminino pela Anistia) no Ceará, que em núcleos como Fortaleza, Tauá, Cratéus. O segundo é o ano da Promulgação em 28 de Agosto de 1979 da Lei 6.683 conhecida como Lei da Anistia Política de 1979 e foi regulada pelo Decreto 84.143.  </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Diante desses esclarecimentos, trataremos agora de comentar algumas questões que pretendemos abordar em nosso estudo, identificando as fontes que serão utilizadas nesse processo.</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Atualmente a questão da Anistia tem sido retomada frente a dois problemas centrais que o próprio desenvolvimento do “processo” fez surgir: o primeiro sendo o tema das reparações aos presos políticos de acordo com a Lei Federal 10.559 de 2002 e com Lei Estadual 13. 202 de 2002 e o segundo do perdão aos militares, ou seja, essa mesma anistia colocou num mesmo patamar torturados e torturadores. </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Sabemos que o MFPA-CE (Movimento Feminino pela Anistia), foi importantíssimo, entretanto não foi à única força que culminou com a decretação da Lei de Anistia de 1979. No processo temos que acrescentar o trabalho do CBA-CE (Comitê Brasileiro pela Anistia), que foi de fundamental importância na reta final de 1979 e que muitas vezes fica silenciado pela simples falta de pesquisas acadêmicas que busquem compreender melhor a atuação e importância do CBA-CE, mesmo após a decretação da Anistia Política de 1979. </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Na história recente de nosso país no final de 1970 e meados dos anos de 1980, surgem formas de ações coletivas, práticas de organização social que compreendem os movimentos tais como: Movimentos de comunidades eclesiais de base, Movimento das comunidades em luta pela posse de terra, moradia, Movimento de valorização do professor, Movimento de mulheres pela Anistia, dentre outros. </w:t>
      </w:r>
    </w:p>
    <w:p w:rsidR="00DA0AB2" w:rsidRDefault="00DA0AB2" w:rsidP="00683D42">
      <w:pPr>
        <w:spacing w:line="360" w:lineRule="auto"/>
        <w:jc w:val="both"/>
        <w:rPr>
          <w:rFonts w:ascii="Times New Roman" w:hAnsi="Times New Roman"/>
          <w:sz w:val="24"/>
          <w:szCs w:val="24"/>
        </w:rPr>
      </w:pPr>
    </w:p>
    <w:p w:rsidR="00DA0AB2" w:rsidRDefault="00DA0AB2" w:rsidP="00683D42">
      <w:pPr>
        <w:spacing w:line="360" w:lineRule="auto"/>
        <w:jc w:val="both"/>
        <w:rPr>
          <w:rFonts w:ascii="Times New Roman" w:hAnsi="Times New Roman"/>
          <w:sz w:val="24"/>
          <w:szCs w:val="24"/>
        </w:rPr>
      </w:pPr>
    </w:p>
    <w:p w:rsidR="00DA0AB2" w:rsidRPr="00E11984"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DESENVOLVIMENTO</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Sabemos que um Movimento Social é uma ação coletiva, é o que nos informa Sidney Tarrow</w:t>
      </w:r>
      <w:r>
        <w:rPr>
          <w:rStyle w:val="FootnoteReference"/>
          <w:rFonts w:ascii="Times New Roman" w:hAnsi="Times New Roman"/>
          <w:sz w:val="24"/>
          <w:szCs w:val="24"/>
        </w:rPr>
        <w:footnoteReference w:id="2"/>
      </w:r>
      <w:r>
        <w:rPr>
          <w:rFonts w:ascii="Times New Roman" w:hAnsi="Times New Roman"/>
          <w:sz w:val="24"/>
          <w:szCs w:val="24"/>
        </w:rPr>
        <w:t xml:space="preserve"> ao mencionar que o confronto político ocorre quando as pessoas comuns, sempre aliados a cidadãos mais influentes, juntam forças para fazer frente às elites, autoridades e opositores. Tais confrontos remotam ao início da História. Mas prepará-los contra os opositores poderosos é a contribuição singular da idade moderna que acompanhou o surgimento do Estado Moderno. O confronto político conduz a uma interação sustentada com opositores quando é apoiado por densas redes sociais estimulado por símbolos culturalmente vibrantes e orientados para a ação. O resultado é o Movimento Social.</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Ainda com relação ao trabalho de Sidney Tarrow, podemos perceber que um ato irredutível que está na base de todos os Movimentos Sociais, protestos e revoluções é a ação coletiva de confronto. E essa mesma ação coletiva torna-se de confronto quando são empregadas por pessoas que não tem acesso regular as instituições, que agem em nome de exigências novas ou não atendidas e que comportam de maneira que fundamentalmente desafiam os outros ou as autoridades. A ação coletiva é à base dos Movimentos Sociais não por serem estes sempre violentos ou extremos, mas porque é o principal e quase sempre o único recurso que as pessoas comuns têm contra opositores mais bem equipados ou Estados poderosos. </w:t>
      </w:r>
    </w:p>
    <w:p w:rsidR="00DA0AB2" w:rsidRDefault="00DA0AB2" w:rsidP="00683D42">
      <w:pPr>
        <w:spacing w:line="360" w:lineRule="auto"/>
        <w:jc w:val="both"/>
        <w:rPr>
          <w:rFonts w:ascii="Times New Roman" w:hAnsi="Times New Roman"/>
          <w:sz w:val="24"/>
          <w:szCs w:val="24"/>
        </w:rPr>
      </w:pPr>
      <w:r>
        <w:rPr>
          <w:rFonts w:ascii="Times New Roman" w:hAnsi="Times New Roman"/>
          <w:sz w:val="24"/>
          <w:szCs w:val="24"/>
        </w:rPr>
        <w:t xml:space="preserve">          Diante do que foi exposto, podemos levantar vários questionamentos dentre os quais: Como diante de um sistema ainda fechado, a sociedade conseguiu mobilizar-se e começou a clamar por um Movimento de Anistia?</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Como essa mesma sociedade encontrou forças, vontade e principalmente determinação para ganhar as ruas de todo o país e principalmente de nossa Capital? Como esse Movimento realizou-se em ações cotidianas e se transformou numa luta que conseguiu mudar a opinião do próprio Governo Militar, que a princípio falava em revisão dos processos? Quais as motivações e conquistas dessa luta, mesmo sabendo que a anistia foi restrita, diferentemente da que foi anunciada pelo próprio Governo Militar como sendo Ampla, Geral e Irrestrita?</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configuração dos Movimentos Sociais que conhecemos hoje começou a aparecer em maior número durante o século XVII, entretanto um aliado que foi de grande ajuda foi o barateamento da imprensa, ou melhor, das publicações e dos papeis impressos.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 isso percebemos que o livro foi à primeira mercadoria produzida em massa e os jornais a caminho desse desenvolvimento conseguem encontrar espaço também. Entretanto nos jornais circulavam as idéias de Movimento expandiam o mercado para a imprensa pois as pessoas tentavam tornar parte do que estava acontecendo em outro lugar. Uma união que deu vários frutos foi a da imprensa com as redes sociais que de certo modo potencializavam as ações coletivas.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Como tem demonstrado pesquisas recentes à imprensa nesse período (1964-1985), mesmo prevalecendo à censura, encontrava espaço para noticiar o processo de anistia. Portanto, para melhor compreender o objeto de estudo Anistia Política, está sendo feita uma análise de como esse tema aparece na chamada “grande imprensa” destacando para tanto os jornais: O POVO, CORREIO DO CEARÁ, TRIBUNA DO CEARÁ, esses jornais tinham ampla circulação no Ceará. Por outro lado esse debate não estaria completo sem a imprensa alternativa ou nanica, cujo principal representante desse período no Ceará é o jornal MUTIRÃO, que circulou nos anos de 1979 a 1982.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imprensa alternativa, notadamente, representava grupos e movimentos específicos caracterizando-se como fonte diferente da chamada “grande imprensa”, não possuía a mesma sistematicidade, tiragem e nem o mesmo público alvo.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 sua especificidade, esse tipo de imprensa constitui uma fonte privilegiada para a história, pois nos esclarece a visão desses Movimentos Sociais em relação ao Movimento Político vigente na época. É conhecida a importância desse debate em termos nacionais que se verifica em alternativos como: O pasquim, Movimento, Opinião. O objetivo aqui é realizar um recorte e pensar as repercussões e desdobramentos do Movimento Nacional pela Anistia no cenário político cearense.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luta pela anistia é nacional, mesmo sabendo da existência de um potente aparelho repressivo em franca atividade. O núcleo cearense do MFPA-CE (Movimento Feminino pela Anistia) é o terceiro a ser criado, em Março de 1976. Sua origem remete as reuniões de famílias de presos políticos no ano anterior em Fortaleza, para discutir formas de intervenção e defesa de parentes encarcerados pela ditadura. O trabalho de mães, irmãs, esposas, namoradas, atrai outras mulheres sem parentes presos, que viram na atuação do Movimento, a possibilidade de retomar atividade de militância política interrompidas pela repressão ou simplesmente, de exercer a solidariedade aos presos políticos e as suas famílias.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O núcleo nacional do MFPA-CE liderado por Theresinha Zerbine estava constantemente comunicando-se com os núcleos estaduais e em especial com o núcleo do Ceará, através de cartas, circulares, jornais.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Nessa troca de informações eram divulgados eventos que iriam acontecer em todo o Brasil e era repassadas informações de como estava o andamento da luta nos Estados. A utilização da performance de gênero no estudo do MFPA-CE (Movimento Feminino pela Anistia) é um elemento importante para esta pesquisa, pois nos ajudará a entender e compreender as transformações as experiências sobre a subjetividade nas memórias de cada militante individualmente e no grupo em geral, pois a memória è aberta a lembranças, assim como ao esquecimento.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Segundo Ana Rita Fonteles Duarte</w:t>
      </w:r>
      <w:r>
        <w:rPr>
          <w:rStyle w:val="FootnoteReference"/>
          <w:rFonts w:ascii="Times New Roman" w:hAnsi="Times New Roman"/>
          <w:sz w:val="24"/>
          <w:szCs w:val="24"/>
        </w:rPr>
        <w:footnoteReference w:id="3"/>
      </w:r>
      <w:r>
        <w:rPr>
          <w:rFonts w:ascii="Times New Roman" w:hAnsi="Times New Roman"/>
          <w:sz w:val="24"/>
          <w:szCs w:val="24"/>
        </w:rPr>
        <w:t>, no MFPA-CE, existia dois grupos o das “familiares” e as “politizadas”. O grupo das familiares, na maioria, diferenciava suas ações das militantes politizadas, porque eram baseadas no afeto, pois ao possuir parente próximo preso já era uma grande motivação para ingressar no Movimento. Baseavam-se suas ações em sentimentos ligados à modernidade, fragilidade, cuidado natural com a família, as guardiãs do lar e da família brasileira.</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Isso nos lembra o trabalho de Cleci Favaro</w:t>
      </w:r>
      <w:r>
        <w:rPr>
          <w:rStyle w:val="FootnoteReference"/>
          <w:rFonts w:ascii="Times New Roman" w:hAnsi="Times New Roman"/>
          <w:sz w:val="24"/>
          <w:szCs w:val="24"/>
        </w:rPr>
        <w:footnoteReference w:id="4"/>
      </w:r>
      <w:r>
        <w:rPr>
          <w:rFonts w:ascii="Times New Roman" w:hAnsi="Times New Roman"/>
          <w:sz w:val="24"/>
          <w:szCs w:val="24"/>
        </w:rPr>
        <w:t xml:space="preserve">, que nos mostra que dentro do próprio gênero existem relações de poder, ou melhor, um grupo, uma mulher pode se destacar, pode desenvolver posição de destaque, posição de liderança o que derruba a idéia de que os estudos de gênero são todos iguais, são todos homogêneos.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O Movimento que se contrapôs à ditadura fez isso com elementos do imaginário feminino aprovado e disseminado pelo regime militar. A mulher que age como defensora do lar e da família brasileira que atua contrária a conflitos e rupturas. São elementos desse cenário, desse jogo, restrição a participação de homens no MFPA-CE (Movimento Feminino pela Anistia) e a negação de qualquer vínculo político-partidário.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Foram as ações das mulheres, ou para muitos o feminismo que levou ao relacionamento da força da emotividade nos movimentos sociais. O sentimento é o combustível que impulsiona o desenvolvimento e a consolidação da luta. Para estudiosos desse assunto o amor e o cuidado de um lado, e a raiva, a dor, a hostilidade de outro, caracterizavam as interações feministas. O sucesso do Movimento Feminino pela Anistia (MFPA-CE) deu-se através de ações coletivas no âmbito do público e do privado de maneira convencional empregando-se em grande parte o discurso e o símbolo em passeatas, atos públicos, reuniões públicas, atividades educacionais, dentro da própria família (privado). A linguagem como símbolo foi utilizada como exemplo: mulheres em vez de garotas, gênero em vez de sexo, companheiras em vez de namoradas, familiares, amigas, essa estratégia foi de grande valia para o amadurecimento e o desenvolvimento do MFPA-CE e para fazer a propaganda de suas ações para a sociedade de uma maneira geral.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contribuição de Michelle Perrot</w:t>
      </w:r>
      <w:r>
        <w:rPr>
          <w:rStyle w:val="FootnoteReference"/>
          <w:rFonts w:ascii="Times New Roman" w:hAnsi="Times New Roman"/>
          <w:sz w:val="24"/>
          <w:szCs w:val="24"/>
        </w:rPr>
        <w:footnoteReference w:id="5"/>
      </w:r>
      <w:r>
        <w:rPr>
          <w:rFonts w:ascii="Times New Roman" w:hAnsi="Times New Roman"/>
          <w:sz w:val="24"/>
          <w:szCs w:val="24"/>
        </w:rPr>
        <w:t xml:space="preserve"> é importante quando menciona que substituir a representação dominante de uma dona-de-casa insignificante e negligencável, oprimida e humilhada, pela de uma mulher ativa e resistente, guardiã das subsistências, administradora do orçamento familiar. A questão da atuação da mulher no campo do público e do privado.</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Theresinha Zerbini diante das informações recebidas pelos núcleos estaduais orientava-os sempre na direção do MFPA nacional, nessas trocas de informações, falavam sempre de como estava à situação dos presos políticos. O “bem estar social” dos presos políticos era uma rotina para o MFPA-CE, constantemente era encaminhado à direção do IPPS, a Secretária de Justiça e a Auditoria Militar, pedidos solicitando melhores condições de vida e tratamento a esses presos comuns e aos presos políticos.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Cotidianamente eram feitas denúncias referindo-se a dificuldade para a assistência medica, pronto socorro, transferência de preso para Fortaleza em caso de urgência. Todas essas eram ações referendadas pela feitura de abaixo- assinado.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 isso percebemos que o gênero torna-se uma categoria e análise fundamental para pensar as memórias das mulheres e por seu intermédio, a ação do grupo e a visão sobre as trajetórias a partir da participação no Movimento.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concepção teórica de Scott, parece-me sobremaneira adequada para pensar o objeto de pesquisa, por compreender o gênero como elemento constituinte das relações sociais, baseado em diferenças percebidas entre sexos e por ser visto como forma primeira de significar as relações de poder.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Por isso é importante esclarecer a diferenciação de gênero para Joan Scott</w:t>
      </w:r>
      <w:r>
        <w:rPr>
          <w:rStyle w:val="FootnoteReference"/>
          <w:rFonts w:ascii="Times New Roman" w:hAnsi="Times New Roman"/>
          <w:sz w:val="24"/>
          <w:szCs w:val="24"/>
        </w:rPr>
        <w:footnoteReference w:id="6"/>
      </w:r>
      <w:r>
        <w:rPr>
          <w:rFonts w:ascii="Times New Roman" w:hAnsi="Times New Roman"/>
          <w:sz w:val="24"/>
          <w:szCs w:val="24"/>
        </w:rPr>
        <w:t xml:space="preserve"> como sendo “um elemento construtivo de relações sociais fundadas sobre as diferenças percebidas entre os sexos, e o gênero e um primeiro modo de dar significado “as relações de poder”.Como vimos, Scott propõe um uso de gênero muito abrangente, incluindo o homem e a mulher em suas múltiplas conexões de poder. Isso torna o gênero como categoria importante para pensar as memórias das mulheres e por seu intermédio, a ação do grupo e a visão sobe as trajetórias a partir da participação no Movimento.</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Para Maria Izilda</w:t>
      </w:r>
      <w:r>
        <w:rPr>
          <w:rStyle w:val="FootnoteReference"/>
          <w:rFonts w:ascii="Times New Roman" w:hAnsi="Times New Roman"/>
          <w:sz w:val="24"/>
          <w:szCs w:val="24"/>
        </w:rPr>
        <w:footnoteReference w:id="7"/>
      </w:r>
      <w:r>
        <w:rPr>
          <w:rFonts w:ascii="Times New Roman" w:hAnsi="Times New Roman"/>
          <w:sz w:val="24"/>
          <w:szCs w:val="24"/>
        </w:rPr>
        <w:t xml:space="preserve">, a categoria de gênero encontrou um terreno favorável na historiografia brasileira contemporânea, desnaturalizando as identidades sexuais e postulando a dimensão relacional. Talvez a história, mais especificamente a história cultural, tenha sido uma das áreas, no campo interdisciplinar dos estudos de gênero, que mais intensamente tenha feito essa incorporação, devido também a diversificação de documentação, utilizando criativamente a música, a literatura, e os cronistas, a imprensa, o cinema e a mídia.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Gisela Bock</w:t>
      </w:r>
      <w:r>
        <w:rPr>
          <w:rStyle w:val="FootnoteReference"/>
          <w:rFonts w:ascii="Times New Roman" w:hAnsi="Times New Roman"/>
          <w:sz w:val="24"/>
          <w:szCs w:val="24"/>
        </w:rPr>
        <w:footnoteReference w:id="8"/>
      </w:r>
      <w:r>
        <w:rPr>
          <w:rFonts w:ascii="Times New Roman" w:hAnsi="Times New Roman"/>
          <w:sz w:val="24"/>
          <w:szCs w:val="24"/>
        </w:rPr>
        <w:t xml:space="preserve"> acrescenta informações para essa discussão ao nos relatar que a mulheres têm de fato ma história e ela é diferente, quando na medida em comparação com a história dos homens. Mas o fato dessa história ser diferente da dos homens não significa que seja menos importante. A história das mulheres só pode ser compreendida no plural, nunca no singular. A história das mulheres assemelha-se à dos homens sendo tão rica e complexa, não linear, ilógica, ou incoerente como ela.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 isso percebemos que novos personagens surgem, episódios até então desconhecidos são publicizados, livros de memórias do período lançam-se, criam-se novas solidariedades e sociabilidades. Há um esforço contínuo na tentativa de construção de memória contraposta ao discurso dos que comandam e apóiam a ditadura, de reconstrução do sofrimento concretizado na tortura, na dissolução de famílias, em mortes e traumas.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Como nos lembra Pollak</w:t>
      </w:r>
      <w:r>
        <w:rPr>
          <w:rStyle w:val="FootnoteReference"/>
          <w:rFonts w:ascii="Times New Roman" w:hAnsi="Times New Roman"/>
          <w:sz w:val="24"/>
          <w:szCs w:val="24"/>
        </w:rPr>
        <w:footnoteReference w:id="9"/>
      </w:r>
      <w:r>
        <w:rPr>
          <w:rFonts w:ascii="Times New Roman" w:hAnsi="Times New Roman"/>
          <w:sz w:val="24"/>
          <w:szCs w:val="24"/>
        </w:rPr>
        <w:t xml:space="preserve">, a memória é seletiva nem tudo fica gravado, não se refere apenas à vida física da pessoa. A memória também sofre flutuações que são função do momento em que ela é articulada, em que ela está sendo expressa. E essas preocupações do momento constituem um elemento de estruturação da memória. A memória é um fenômeno construído, o que a memória individual grava, realça, exclui, relembra, é evidente o resultado de um verdadeiro trabalho de organização.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Com isso podemos acrescentar que a memória emerge de um grupo, portanto, há tantas memórias quantos grupos sociais, existirem que podem tornar a memória sagrada e dogmática. O desenvolvimento da pesquisa histórica é incompleto, pois as lembranças são diversificadas, podem existir várias interpretações sobre um determinado acontecimento e cabe ao historiador selecionar os detalhes, o espaço e principalmente.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A historiografia brasileira sobre o período denominado ditadura militar (1964-1985) vem renovando seus estudos, principalmente com relação à nomenclatura “ditadura militar” que nos dias atuais foi incorporado ao tema à palavra “civil” ficando a nomenclatura dos estudos atuais Ditadura Civil- Militar 91964 -1985).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Isso se deve ao trabalho de historiadores como: Carlos Fico, Jorge Ferreira, Daniel Aarão Reis, Maria Paula Nascimento, Lucília de Almeida Neves Delgado, que levam em consideração aspectos de ma história da vida cotidiana dos mais variados grupos que compunham a sociedade, possibilitando, assim perceber os embates que são construídos por estes diferentes sujeitos. Também se deve ao fato da comparação, da participação de segmentos das “elites” em quase todo o país no patrocínio, no financiamento e no apoio material e intelectual no tocante “a por em prática” os mais variados tipos de tortura nas pessoas que foram denominadas erroneamente de subversivos, de terroristas, mas que na verdade estavam lutando por “melhores condições”, por uma maior participação política neste “truculento” período do nosso país.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Para a historiadora Lucília de Almeida Neves Delgado</w:t>
      </w:r>
      <w:r>
        <w:rPr>
          <w:rStyle w:val="FootnoteReference"/>
          <w:rFonts w:ascii="Times New Roman" w:hAnsi="Times New Roman"/>
          <w:sz w:val="24"/>
          <w:szCs w:val="24"/>
        </w:rPr>
        <w:footnoteReference w:id="10"/>
      </w:r>
      <w:r>
        <w:rPr>
          <w:rFonts w:ascii="Times New Roman" w:hAnsi="Times New Roman"/>
          <w:sz w:val="24"/>
          <w:szCs w:val="24"/>
        </w:rPr>
        <w:t>, a história política caracteriza-se por construir uma teia tecida por heterogêneas realidades. Os sujeitos construtores da história política são diversos e representa interesses plurais próprios a realidade humana. São sujeitos mulheres e homens que escolheram a vida pública como profissão ou se inserem nas lutas sociais como militância sendo sujeitos coletivos institucionais, como organização política e partidos reunindo pessoas de projetos comuns ainda que somente no terreno da teoria.</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Para Kátia Azevedo</w:t>
      </w:r>
      <w:r>
        <w:rPr>
          <w:rStyle w:val="FootnoteReference"/>
          <w:rFonts w:ascii="Times New Roman" w:hAnsi="Times New Roman"/>
          <w:sz w:val="24"/>
          <w:szCs w:val="24"/>
        </w:rPr>
        <w:footnoteReference w:id="11"/>
      </w:r>
      <w:r>
        <w:rPr>
          <w:rFonts w:ascii="Times New Roman" w:hAnsi="Times New Roman"/>
          <w:sz w:val="24"/>
          <w:szCs w:val="24"/>
        </w:rPr>
        <w:t xml:space="preserve">, apesar das dificuldades da vendagem não apenas pela repressão, como também pelas precárias condições sócio-econômicas da região nordeste. O Mutirão foi decisivo, ainda que sua periodicidade fosse irregular, que houvesse interrupções ou brigas dos grupos que o faziam, da asfixia dos anunciantes, das dificuldades de impressão, era a voz dissonante, por ser o primeiro e único jornal alternativo na época da ditadura militar no Ceará. Kátia afirma ainda que seja nesse clima, que aparece no Ceará o jornal alternativo Mutirão à véspera da abertura que trouxe a anistia, os novos partidos, o fim da censura prévia.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É importante indicar aqui a particularidade desta fonte e o lugar que ocupa nesta pesquisa, pois o Mutirão colocava-se como porta-voz do Movimento pela Anistia do Ceará. O Mutirão insere-se nesse processo, com parte da imprensa alternativa dos anos 1970, no momento em que havia necessidade da criação dos próprios canais de expressão de grupos de intelectuais e militantes de partidos políticos, progressistas e dos movimentos populares de bairro. O Mutirão representava os interesses do P.C.do B.            (Partido Comunista do Brasil). </w:t>
      </w:r>
    </w:p>
    <w:p w:rsidR="00DA0AB2" w:rsidRDefault="00DA0AB2" w:rsidP="000712C1">
      <w:pPr>
        <w:spacing w:after="0" w:line="360" w:lineRule="auto"/>
        <w:jc w:val="both"/>
        <w:rPr>
          <w:rFonts w:ascii="Times New Roman" w:hAnsi="Times New Roman"/>
          <w:sz w:val="24"/>
          <w:szCs w:val="24"/>
        </w:rPr>
      </w:pPr>
    </w:p>
    <w:p w:rsidR="00DA0AB2" w:rsidRDefault="00DA0AB2" w:rsidP="000712C1">
      <w:pPr>
        <w:spacing w:after="0" w:line="360" w:lineRule="auto"/>
        <w:jc w:val="both"/>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CONCLUSÃO</w:t>
      </w:r>
    </w:p>
    <w:p w:rsidR="00DA0AB2" w:rsidRPr="00C82787" w:rsidRDefault="00DA0AB2" w:rsidP="000712C1">
      <w:pPr>
        <w:spacing w:after="0" w:line="360" w:lineRule="auto"/>
        <w:jc w:val="both"/>
        <w:rPr>
          <w:rFonts w:ascii="Times New Roman" w:hAnsi="Times New Roman"/>
          <w:b/>
          <w:sz w:val="24"/>
          <w:szCs w:val="24"/>
        </w:rPr>
      </w:pP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Diante dessas informações podemos levantar a seguinte pergunta; Em que se pautava a direção do jornal alternativo para publicar noticias longas e específicas? Mesmo sabendo que sua estrutura, capital, tiragem eram menores em relação aos veículos da chamada “grande imprensa”. Os jornais de grande circulação procuravam ignorar o assunto realmente por causa da censura? Ou era por medo das ações dos militares que em muitos casos eram violentas? Ou seria porque a maior parte dos canais de comunicação, imprensa falada e escrita estavam sob o controle de segmentos da elite, que em grande parte apoiavam e financiavam o golpe civil-militar e estavam sendo coniventes com a sonegação de informação que de certo modo, iriam fortalecer a luta por uma verdadeira anistia, já que nesse período de estudo o tempo das incertezas era grande, ninguém sabia se vinha e como seria esse processo de uma Anistia Ampla, Geral e Irrestrita.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Portanto, ainda com relação a presente pesquisa faremos uma analise de farta documentação como IPMs. (Inquéritos Políticas Militares0, Fichas de enquadramento criminal, Documentos da DOPS, Delegacia de Ordem e Política social), Documentos o Instituto de Identificação, Ofícios, Laudo de Perícia do IML (Instituto Médico Legal), Prontuários de autuação na DOPS (Delegacia de ordem e política social.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Diante dessa farta documentação surge o perfil de quem foi preso, destacando qual era o segmento social envolvido, profissão, organização a que pertencia, autuação pena de prisão onde ficou detido e preso. Com isso temos ainda condições de saber quais eram suas leituras e discussões, pensamentos e sentimentos, temores, esperanças, ironias, raivas, desespero, mesmo essa documentação sendo anterior a 1979 é importante para o presente estudo, pois ajudará a perceber como familiares, amigos, sociedade civil organizada participaram da constituição do Movimento pela Anistia Política de 1979, englobando é claro MFPA-CE (Movimento Feminino pela Anistia) e CBA-CE (Comitê Brasileiro de anistia), ambos aqui do Ceará.</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b/>
          <w:sz w:val="24"/>
          <w:szCs w:val="24"/>
        </w:rPr>
      </w:pPr>
      <w:r>
        <w:rPr>
          <w:rFonts w:ascii="Times New Roman" w:hAnsi="Times New Roman"/>
          <w:b/>
          <w:sz w:val="24"/>
          <w:szCs w:val="24"/>
        </w:rPr>
        <w:t>REFERÊNCIAS BIBLIOGRAFICAS</w:t>
      </w:r>
    </w:p>
    <w:p w:rsidR="00DA0AB2" w:rsidRPr="00220593" w:rsidRDefault="00DA0AB2" w:rsidP="000712C1">
      <w:pPr>
        <w:spacing w:after="0" w:line="360" w:lineRule="auto"/>
        <w:jc w:val="both"/>
        <w:rPr>
          <w:rFonts w:ascii="Times New Roman" w:hAnsi="Times New Roman"/>
          <w:b/>
          <w:sz w:val="24"/>
          <w:szCs w:val="24"/>
        </w:rPr>
      </w:pP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AZEVEDO, Kátia. </w:t>
      </w:r>
      <w:r>
        <w:rPr>
          <w:rFonts w:ascii="Times New Roman" w:hAnsi="Times New Roman"/>
          <w:b/>
          <w:sz w:val="24"/>
          <w:szCs w:val="24"/>
        </w:rPr>
        <w:t>Mutirão</w:t>
      </w:r>
      <w:r>
        <w:rPr>
          <w:rFonts w:ascii="Times New Roman" w:hAnsi="Times New Roman"/>
          <w:sz w:val="24"/>
          <w:szCs w:val="24"/>
        </w:rPr>
        <w:t>: jornal alternativo do Ceará. Museu do Ceará. Secult. Fortaleza. Expressão gráfica, 2002 (Coleção outras histórias, n 15.</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BOCK, Gisela. Dossiê: História, história das mulheres, história do gênero. </w:t>
      </w:r>
      <w:r>
        <w:rPr>
          <w:rFonts w:ascii="Times New Roman" w:hAnsi="Times New Roman"/>
          <w:b/>
          <w:sz w:val="24"/>
          <w:szCs w:val="24"/>
        </w:rPr>
        <w:t>Penélope. Fazer e desfazer história.</w:t>
      </w:r>
      <w:r>
        <w:rPr>
          <w:rFonts w:ascii="Times New Roman" w:hAnsi="Times New Roman"/>
          <w:sz w:val="24"/>
          <w:szCs w:val="24"/>
        </w:rPr>
        <w:t xml:space="preserve"> N, 4, Nov. 1989.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DELGADO, Lucília de Almeida Neves. “Partidos políticos e frentes parlamentares: projeto, desafios e frentes parlamentares: projeto, desafios e conflitos na democracia”. In: FERREIRA, Jorge e DELGADO, Lucília de Almeida Neves. (orgs.) </w:t>
      </w:r>
      <w:r>
        <w:rPr>
          <w:rFonts w:ascii="Times New Roman" w:hAnsi="Times New Roman"/>
          <w:b/>
          <w:sz w:val="24"/>
          <w:szCs w:val="24"/>
        </w:rPr>
        <w:t xml:space="preserve">O Brasil republicano: </w:t>
      </w:r>
      <w:r>
        <w:rPr>
          <w:rFonts w:ascii="Times New Roman" w:hAnsi="Times New Roman"/>
          <w:sz w:val="24"/>
          <w:szCs w:val="24"/>
        </w:rPr>
        <w:t xml:space="preserve">o tempo da experiência democrática de 1945 ao golpe civil militar de 1964. Rio de Janeiro; Civilização Brasileira, 2003.(livro 3), págs. 129-154.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DUARTE, Ana Rita Fonteles. </w:t>
      </w:r>
      <w:r>
        <w:rPr>
          <w:rFonts w:ascii="Times New Roman" w:hAnsi="Times New Roman"/>
          <w:b/>
          <w:sz w:val="24"/>
          <w:szCs w:val="24"/>
        </w:rPr>
        <w:t>Memórias em disputa e jogos de gênero:</w:t>
      </w:r>
      <w:r>
        <w:rPr>
          <w:rFonts w:ascii="Times New Roman" w:hAnsi="Times New Roman"/>
          <w:sz w:val="24"/>
          <w:szCs w:val="24"/>
        </w:rPr>
        <w:t xml:space="preserve"> o movimento feminino pela anistia no Ceará (1976-1979). Tese de Doutorado, UFSC, Florianópolis, Março de 2009.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FAVARO, Clice Eulália. Imagens femininas:contradições, ambivalências e violências. Porto Alegre : Edupucrs, 2002. In: SOIHET, Raquel. A emergência da pesquisa da história das mulheres e das relações de gênero.</w:t>
      </w:r>
      <w:r>
        <w:rPr>
          <w:rFonts w:ascii="Times New Roman" w:hAnsi="Times New Roman"/>
          <w:b/>
          <w:sz w:val="24"/>
          <w:szCs w:val="24"/>
        </w:rPr>
        <w:t>Revista Brasileira de História.</w:t>
      </w:r>
      <w:r>
        <w:rPr>
          <w:rFonts w:ascii="Times New Roman" w:hAnsi="Times New Roman"/>
          <w:sz w:val="24"/>
          <w:szCs w:val="24"/>
        </w:rPr>
        <w:t xml:space="preserve"> São Paulo, v, 27, n, 54, pág. 281-300.2007.</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MATOS, Maria Izilda S. de. Estudos de gênero: percursos e possibilidades na historiografia contemporânea In.</w:t>
      </w:r>
      <w:r>
        <w:rPr>
          <w:rFonts w:ascii="Times New Roman" w:hAnsi="Times New Roman"/>
          <w:b/>
          <w:sz w:val="24"/>
          <w:szCs w:val="24"/>
        </w:rPr>
        <w:t>Cadernos Pagu.</w:t>
      </w:r>
      <w:r>
        <w:rPr>
          <w:rFonts w:ascii="Times New Roman" w:hAnsi="Times New Roman"/>
          <w:sz w:val="24"/>
          <w:szCs w:val="24"/>
        </w:rPr>
        <w:t xml:space="preserve"> (11). 1998: págs. 67- 75.</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PERROT, Michelle. </w:t>
      </w:r>
      <w:r>
        <w:rPr>
          <w:rFonts w:ascii="Times New Roman" w:hAnsi="Times New Roman"/>
          <w:b/>
          <w:sz w:val="24"/>
          <w:szCs w:val="24"/>
        </w:rPr>
        <w:t xml:space="preserve">Os excluídos da história: </w:t>
      </w:r>
      <w:r>
        <w:rPr>
          <w:rFonts w:ascii="Times New Roman" w:hAnsi="Times New Roman"/>
          <w:sz w:val="24"/>
          <w:szCs w:val="24"/>
        </w:rPr>
        <w:t>operários, mulheres e prisioneiros. Rio de Janeiro: Paz e Terra, 1988, 2 ed. (Coleção Oficinas da História).</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POLLACK, Michel.” Memória e identidade social”. In: </w:t>
      </w:r>
      <w:r>
        <w:rPr>
          <w:rFonts w:ascii="Times New Roman" w:hAnsi="Times New Roman"/>
          <w:b/>
          <w:sz w:val="24"/>
          <w:szCs w:val="24"/>
        </w:rPr>
        <w:t>Estudos Históricos,</w:t>
      </w:r>
      <w:r>
        <w:rPr>
          <w:rFonts w:ascii="Times New Roman" w:hAnsi="Times New Roman"/>
          <w:sz w:val="24"/>
          <w:szCs w:val="24"/>
        </w:rPr>
        <w:t>n, 10, vol.5, Rio de Janeiro. Vértices, 1992, págs. 200- 212.</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SCOTT, Joan.Gênero: uma categoria útil de análise histórica. In. </w:t>
      </w:r>
      <w:r>
        <w:rPr>
          <w:rFonts w:ascii="Times New Roman" w:hAnsi="Times New Roman"/>
          <w:b/>
          <w:sz w:val="24"/>
          <w:szCs w:val="24"/>
        </w:rPr>
        <w:t>Educação e realidade.</w:t>
      </w:r>
      <w:r>
        <w:rPr>
          <w:rFonts w:ascii="Times New Roman" w:hAnsi="Times New Roman"/>
          <w:sz w:val="24"/>
          <w:szCs w:val="24"/>
        </w:rPr>
        <w:t xml:space="preserve"> Porto Alegre, 16 (20:5-22. Jul. dez. 1990.</w:t>
      </w:r>
    </w:p>
    <w:p w:rsidR="00DA0AB2" w:rsidRPr="00385F76"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TARROW, Sidney. </w:t>
      </w:r>
      <w:r>
        <w:rPr>
          <w:rFonts w:ascii="Times New Roman" w:hAnsi="Times New Roman"/>
          <w:b/>
          <w:sz w:val="24"/>
          <w:szCs w:val="24"/>
        </w:rPr>
        <w:t xml:space="preserve">O poder em Movimento: </w:t>
      </w:r>
      <w:r>
        <w:rPr>
          <w:rFonts w:ascii="Times New Roman" w:hAnsi="Times New Roman"/>
          <w:sz w:val="24"/>
          <w:szCs w:val="24"/>
        </w:rPr>
        <w:t xml:space="preserve">movimentos sociais e confronto político. Petrópolis,RJ: Vozes, 2009. (Coleção Sociologia).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0712C1">
      <w:pPr>
        <w:spacing w:after="0" w:line="360" w:lineRule="auto"/>
        <w:jc w:val="both"/>
        <w:rPr>
          <w:rFonts w:ascii="Times New Roman" w:hAnsi="Times New Roman"/>
          <w:sz w:val="24"/>
          <w:szCs w:val="24"/>
        </w:rPr>
      </w:pPr>
    </w:p>
    <w:p w:rsidR="00DA0AB2" w:rsidRDefault="00DA0AB2" w:rsidP="00AC588F">
      <w:pPr>
        <w:spacing w:after="100" w:afterAutospacing="1" w:line="360" w:lineRule="auto"/>
        <w:jc w:val="both"/>
        <w:rPr>
          <w:rFonts w:ascii="Times New Roman" w:hAnsi="Times New Roman"/>
          <w:sz w:val="24"/>
          <w:szCs w:val="24"/>
        </w:rPr>
      </w:pPr>
      <w:r>
        <w:rPr>
          <w:rFonts w:ascii="Times New Roman" w:hAnsi="Times New Roman"/>
          <w:sz w:val="24"/>
          <w:szCs w:val="24"/>
        </w:rPr>
        <w:t xml:space="preserve">              </w:t>
      </w:r>
    </w:p>
    <w:p w:rsidR="00DA0AB2" w:rsidRDefault="00DA0AB2" w:rsidP="00683D42">
      <w:pPr>
        <w:spacing w:line="360" w:lineRule="auto"/>
        <w:jc w:val="both"/>
        <w:rPr>
          <w:rFonts w:ascii="Times New Roman" w:hAnsi="Times New Roman"/>
          <w:sz w:val="24"/>
          <w:szCs w:val="24"/>
        </w:rPr>
      </w:pPr>
    </w:p>
    <w:p w:rsidR="00DA0AB2" w:rsidRPr="00683D42" w:rsidRDefault="00DA0AB2" w:rsidP="00683D42">
      <w:pPr>
        <w:spacing w:line="360" w:lineRule="auto"/>
        <w:jc w:val="both"/>
        <w:rPr>
          <w:rFonts w:ascii="Times New Roman" w:hAnsi="Times New Roman"/>
          <w:sz w:val="24"/>
          <w:szCs w:val="24"/>
        </w:rPr>
      </w:pPr>
    </w:p>
    <w:p w:rsidR="00DA0AB2" w:rsidRPr="00683D42" w:rsidRDefault="00DA0AB2" w:rsidP="00683D42">
      <w:pPr>
        <w:spacing w:line="360" w:lineRule="auto"/>
        <w:jc w:val="both"/>
        <w:rPr>
          <w:rFonts w:ascii="Times New Roman" w:hAnsi="Times New Roman"/>
          <w:b/>
          <w:sz w:val="24"/>
          <w:szCs w:val="24"/>
        </w:rPr>
      </w:pPr>
    </w:p>
    <w:sectPr w:rsidR="00DA0AB2" w:rsidRPr="00683D42" w:rsidSect="00A11F8E">
      <w:headerReference w:type="default" r:id="rId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0AB2" w:rsidRDefault="00DA0AB2" w:rsidP="00683D42">
      <w:pPr>
        <w:spacing w:after="0" w:line="240" w:lineRule="auto"/>
      </w:pPr>
      <w:r>
        <w:separator/>
      </w:r>
    </w:p>
  </w:endnote>
  <w:endnote w:type="continuationSeparator" w:id="0">
    <w:p w:rsidR="00DA0AB2" w:rsidRDefault="00DA0AB2" w:rsidP="00683D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0AB2" w:rsidRDefault="00DA0AB2" w:rsidP="00683D42">
      <w:pPr>
        <w:spacing w:after="0" w:line="240" w:lineRule="auto"/>
      </w:pPr>
      <w:r>
        <w:separator/>
      </w:r>
    </w:p>
  </w:footnote>
  <w:footnote w:type="continuationSeparator" w:id="0">
    <w:p w:rsidR="00DA0AB2" w:rsidRDefault="00DA0AB2" w:rsidP="00683D42">
      <w:pPr>
        <w:spacing w:after="0" w:line="240" w:lineRule="auto"/>
      </w:pPr>
      <w:r>
        <w:continuationSeparator/>
      </w:r>
    </w:p>
  </w:footnote>
  <w:footnote w:id="1">
    <w:p w:rsidR="00DA0AB2" w:rsidRDefault="00DA0AB2">
      <w:pPr>
        <w:pStyle w:val="FootnoteText"/>
      </w:pPr>
      <w:r>
        <w:rPr>
          <w:rStyle w:val="FootnoteReference"/>
        </w:rPr>
        <w:footnoteRef/>
      </w:r>
      <w:r>
        <w:t xml:space="preserve"> Graduado em História pela UFC, Bacharelando em História da UFC e Mestrando em História e Culturas da UECE/MAHIS.</w:t>
      </w:r>
    </w:p>
  </w:footnote>
  <w:footnote w:id="2">
    <w:p w:rsidR="00DA0AB2" w:rsidRDefault="00DA0AB2" w:rsidP="00EE5756">
      <w:pPr>
        <w:pStyle w:val="FootnoteText"/>
        <w:jc w:val="both"/>
      </w:pPr>
      <w:r>
        <w:rPr>
          <w:rStyle w:val="FootnoteReference"/>
        </w:rPr>
        <w:footnoteRef/>
      </w:r>
      <w:r>
        <w:t xml:space="preserve"> TARROW, Sidney.</w:t>
      </w:r>
      <w:r>
        <w:rPr>
          <w:b/>
        </w:rPr>
        <w:t xml:space="preserve"> O poder em Movimento: </w:t>
      </w:r>
      <w:r>
        <w:t xml:space="preserve">movimentos sociais e confrontos político. Petrópolis, RJ; Vozes, 2009. (Coleção Sociologia). </w:t>
      </w:r>
    </w:p>
  </w:footnote>
  <w:footnote w:id="3">
    <w:p w:rsidR="00DA0AB2" w:rsidRDefault="00DA0AB2">
      <w:pPr>
        <w:pStyle w:val="FootnoteText"/>
      </w:pPr>
      <w:r>
        <w:rPr>
          <w:rStyle w:val="FootnoteReference"/>
        </w:rPr>
        <w:footnoteRef/>
      </w:r>
      <w:r>
        <w:t xml:space="preserve"> DUARTE, Ana Rita Fonteles.</w:t>
      </w:r>
      <w:r>
        <w:rPr>
          <w:b/>
        </w:rPr>
        <w:t>Memórias em disputas e jogos de gênero:</w:t>
      </w:r>
      <w:r>
        <w:t xml:space="preserve"> o movimento feminino pela anistia no Ceará (1976-1979). Tese de Doutorado, UFSC, Florianópolis, Março de 2009. </w:t>
      </w:r>
    </w:p>
  </w:footnote>
  <w:footnote w:id="4">
    <w:p w:rsidR="00DA0AB2" w:rsidRDefault="00DA0AB2" w:rsidP="00AB1F6A">
      <w:pPr>
        <w:pStyle w:val="FootnoteText"/>
        <w:jc w:val="both"/>
      </w:pPr>
      <w:r>
        <w:rPr>
          <w:rStyle w:val="FootnoteReference"/>
        </w:rPr>
        <w:footnoteRef/>
      </w:r>
      <w:r>
        <w:t xml:space="preserve"> FAVARO, Cleci Eulália. Imagens femininas: contradições, ambivalências e violências. Porto Alegre: Edupucs, 2002.In: SOIHET, Raquel. A emergência da pesquisa da história das mulheres e das relações de gênero. </w:t>
      </w:r>
      <w:r>
        <w:rPr>
          <w:b/>
        </w:rPr>
        <w:t xml:space="preserve">Revista Brasileira de História. </w:t>
      </w:r>
      <w:r>
        <w:t xml:space="preserve">São Paulo, v, 27, n, 54, pág. 281-300. 2007. </w:t>
      </w:r>
    </w:p>
  </w:footnote>
  <w:footnote w:id="5">
    <w:p w:rsidR="00DA0AB2" w:rsidRDefault="00DA0AB2">
      <w:pPr>
        <w:pStyle w:val="FootnoteText"/>
      </w:pPr>
      <w:r>
        <w:rPr>
          <w:rStyle w:val="FootnoteReference"/>
        </w:rPr>
        <w:footnoteRef/>
      </w:r>
      <w:r>
        <w:t xml:space="preserve"> PERROT, Michelle. </w:t>
      </w:r>
      <w:r>
        <w:rPr>
          <w:b/>
        </w:rPr>
        <w:t>Os excluídos da história:</w:t>
      </w:r>
      <w:r>
        <w:t xml:space="preserve"> operários, mulheres e prisioneiros. Rio de Janeiro: Paz e Terra, 1988, 2 ed. 9 (Coleção Oficinas da História). </w:t>
      </w:r>
    </w:p>
  </w:footnote>
  <w:footnote w:id="6">
    <w:p w:rsidR="00DA0AB2" w:rsidRDefault="00DA0AB2">
      <w:pPr>
        <w:pStyle w:val="FootnoteText"/>
      </w:pPr>
      <w:r>
        <w:rPr>
          <w:rStyle w:val="FootnoteReference"/>
        </w:rPr>
        <w:footnoteRef/>
      </w:r>
      <w:r>
        <w:t xml:space="preserve"> SCOTT, Joan. Gênero: uma categoria útil de análise histórica. In. </w:t>
      </w:r>
      <w:r>
        <w:rPr>
          <w:b/>
        </w:rPr>
        <w:t xml:space="preserve">Educação e realidade. </w:t>
      </w:r>
      <w:r>
        <w:t xml:space="preserve">Porto Alegre, 16(20; 5-22 jul .dez. 1990). </w:t>
      </w:r>
    </w:p>
  </w:footnote>
  <w:footnote w:id="7">
    <w:p w:rsidR="00DA0AB2" w:rsidRDefault="00DA0AB2" w:rsidP="00EF7C35">
      <w:pPr>
        <w:pStyle w:val="FootnoteText"/>
        <w:jc w:val="both"/>
      </w:pPr>
      <w:r>
        <w:rPr>
          <w:rStyle w:val="FootnoteReference"/>
        </w:rPr>
        <w:footnoteRef/>
      </w:r>
      <w:r>
        <w:t xml:space="preserve"> MATOS, Maria Izilda S. de. Estudos de gênero:percursos e possibilidades na historiografia contemporânea. In. </w:t>
      </w:r>
      <w:r>
        <w:rPr>
          <w:b/>
        </w:rPr>
        <w:t xml:space="preserve">Cadernos Pagu. </w:t>
      </w:r>
      <w:r>
        <w:t xml:space="preserve">(11). 1998: págs. 67-75. </w:t>
      </w:r>
    </w:p>
  </w:footnote>
  <w:footnote w:id="8">
    <w:p w:rsidR="00DA0AB2" w:rsidRDefault="00DA0AB2" w:rsidP="00EF7C35">
      <w:pPr>
        <w:pStyle w:val="FootnoteText"/>
        <w:jc w:val="both"/>
      </w:pPr>
      <w:r>
        <w:rPr>
          <w:rStyle w:val="FootnoteReference"/>
        </w:rPr>
        <w:footnoteRef/>
      </w:r>
      <w:r>
        <w:t xml:space="preserve"> BOCK, Gisela. Dossiê: História, história das mulheres, história do gênero. </w:t>
      </w:r>
      <w:r>
        <w:rPr>
          <w:b/>
        </w:rPr>
        <w:t>Penélope.Fazer e desfazer história.</w:t>
      </w:r>
      <w:r>
        <w:t xml:space="preserve">n,4, Nov.1989. </w:t>
      </w:r>
    </w:p>
  </w:footnote>
  <w:footnote w:id="9">
    <w:p w:rsidR="00DA0AB2" w:rsidRDefault="00DA0AB2" w:rsidP="006F1FEF">
      <w:pPr>
        <w:pStyle w:val="FootnoteText"/>
        <w:jc w:val="both"/>
      </w:pPr>
      <w:r>
        <w:rPr>
          <w:rStyle w:val="FootnoteReference"/>
        </w:rPr>
        <w:footnoteRef/>
      </w:r>
      <w:r>
        <w:t xml:space="preserve"> POLLACK, Michel. “Memória e identidade social”. In. </w:t>
      </w:r>
      <w:r>
        <w:rPr>
          <w:b/>
        </w:rPr>
        <w:t>Estudos Históricos,</w:t>
      </w:r>
      <w:r>
        <w:t xml:space="preserve">n, 10, vol.5, Rio de Janeiro. Vértices, 1992, págs. 200-212). </w:t>
      </w:r>
    </w:p>
  </w:footnote>
  <w:footnote w:id="10">
    <w:p w:rsidR="00DA0AB2" w:rsidRDefault="00DA0AB2" w:rsidP="008D1C4F">
      <w:pPr>
        <w:pStyle w:val="FootnoteText"/>
        <w:jc w:val="both"/>
      </w:pPr>
      <w:r>
        <w:rPr>
          <w:rStyle w:val="FootnoteReference"/>
        </w:rPr>
        <w:footnoteRef/>
      </w:r>
      <w:r>
        <w:t xml:space="preserve"> DELGADO, Lucília de Almeida Neves. “Partidos políticos e frentes parlamentares: projeto, desafios e frentes parlamentares:projeto,desafios e conflitos na democracia” In. FERREIRA, Jorge e DELGADO, Lucília de Ameida Neves. (orgs.)</w:t>
      </w:r>
      <w:r>
        <w:rPr>
          <w:b/>
        </w:rPr>
        <w:t xml:space="preserve"> O Brasil republicano</w:t>
      </w:r>
      <w:r>
        <w:t>: o tempo da experiência democrática de 1945 ao golpe civil militar de 1964. Rio de Janeiro, Civilização Brasileira,2003.(livro 3), págs. 129-154 .</w:t>
      </w:r>
    </w:p>
  </w:footnote>
  <w:footnote w:id="11">
    <w:p w:rsidR="00DA0AB2" w:rsidRDefault="00DA0AB2" w:rsidP="0020321A">
      <w:pPr>
        <w:pStyle w:val="FootnoteText"/>
        <w:jc w:val="both"/>
      </w:pPr>
      <w:r>
        <w:rPr>
          <w:rStyle w:val="FootnoteReference"/>
        </w:rPr>
        <w:footnoteRef/>
      </w:r>
      <w:r>
        <w:t xml:space="preserve"> AZEVEDO, Kátia.</w:t>
      </w:r>
      <w:r>
        <w:rPr>
          <w:b/>
        </w:rPr>
        <w:t>Mutirão</w:t>
      </w:r>
      <w:r>
        <w:t xml:space="preserve">: jornal alternativo do Ceará. Museu do Ceará. Secult. Fortaleza. Expressão Gráfica, 2002 (Coleção outras histórias, n 15).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0AB2" w:rsidRDefault="00DA0AB2">
    <w:pPr>
      <w:pStyle w:val="Header"/>
      <w:jc w:val="right"/>
    </w:pPr>
    <w:fldSimple w:instr=" PAGE   \* MERGEFORMAT ">
      <w:r>
        <w:rPr>
          <w:noProof/>
        </w:rPr>
        <w:t>4</w:t>
      </w:r>
    </w:fldSimple>
  </w:p>
  <w:p w:rsidR="00DA0AB2" w:rsidRDefault="00DA0AB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83D42"/>
    <w:rsid w:val="00052D28"/>
    <w:rsid w:val="000712C1"/>
    <w:rsid w:val="00084F22"/>
    <w:rsid w:val="00087E2D"/>
    <w:rsid w:val="000D02B1"/>
    <w:rsid w:val="00131EEB"/>
    <w:rsid w:val="0013677F"/>
    <w:rsid w:val="00175223"/>
    <w:rsid w:val="0020321A"/>
    <w:rsid w:val="00220593"/>
    <w:rsid w:val="002359EB"/>
    <w:rsid w:val="002E1C0F"/>
    <w:rsid w:val="002E6571"/>
    <w:rsid w:val="0030770F"/>
    <w:rsid w:val="00325003"/>
    <w:rsid w:val="003608E3"/>
    <w:rsid w:val="00370F5E"/>
    <w:rsid w:val="003829A7"/>
    <w:rsid w:val="00385F76"/>
    <w:rsid w:val="00396C15"/>
    <w:rsid w:val="0044637C"/>
    <w:rsid w:val="004672C0"/>
    <w:rsid w:val="004B0318"/>
    <w:rsid w:val="00562A52"/>
    <w:rsid w:val="00564AB8"/>
    <w:rsid w:val="005711AF"/>
    <w:rsid w:val="00574FB7"/>
    <w:rsid w:val="005A1C04"/>
    <w:rsid w:val="005C0BFC"/>
    <w:rsid w:val="0061223A"/>
    <w:rsid w:val="006146DE"/>
    <w:rsid w:val="006328AC"/>
    <w:rsid w:val="00654E99"/>
    <w:rsid w:val="00661298"/>
    <w:rsid w:val="00683D42"/>
    <w:rsid w:val="006F1FEF"/>
    <w:rsid w:val="00705038"/>
    <w:rsid w:val="007057F7"/>
    <w:rsid w:val="00721816"/>
    <w:rsid w:val="00762306"/>
    <w:rsid w:val="00764067"/>
    <w:rsid w:val="007714B5"/>
    <w:rsid w:val="007A3568"/>
    <w:rsid w:val="007C32AD"/>
    <w:rsid w:val="00803CFC"/>
    <w:rsid w:val="008138DD"/>
    <w:rsid w:val="00823289"/>
    <w:rsid w:val="00842560"/>
    <w:rsid w:val="0085440C"/>
    <w:rsid w:val="00863C08"/>
    <w:rsid w:val="00874F35"/>
    <w:rsid w:val="008D0CD7"/>
    <w:rsid w:val="008D1C4F"/>
    <w:rsid w:val="008E734F"/>
    <w:rsid w:val="00922A9D"/>
    <w:rsid w:val="00982EB8"/>
    <w:rsid w:val="00994A9F"/>
    <w:rsid w:val="009B3301"/>
    <w:rsid w:val="009B508B"/>
    <w:rsid w:val="009C3514"/>
    <w:rsid w:val="009F6CE3"/>
    <w:rsid w:val="00A11136"/>
    <w:rsid w:val="00A11F8E"/>
    <w:rsid w:val="00A17B6E"/>
    <w:rsid w:val="00A31974"/>
    <w:rsid w:val="00A64A92"/>
    <w:rsid w:val="00AB1F6A"/>
    <w:rsid w:val="00AC588F"/>
    <w:rsid w:val="00AF20DE"/>
    <w:rsid w:val="00B97F29"/>
    <w:rsid w:val="00BD1375"/>
    <w:rsid w:val="00BD5BB0"/>
    <w:rsid w:val="00BD72D1"/>
    <w:rsid w:val="00BE548C"/>
    <w:rsid w:val="00BE78E1"/>
    <w:rsid w:val="00BF0742"/>
    <w:rsid w:val="00C32F8A"/>
    <w:rsid w:val="00C76D48"/>
    <w:rsid w:val="00C82787"/>
    <w:rsid w:val="00CE274D"/>
    <w:rsid w:val="00D049CF"/>
    <w:rsid w:val="00D16A11"/>
    <w:rsid w:val="00D332EA"/>
    <w:rsid w:val="00D35DC7"/>
    <w:rsid w:val="00D614B7"/>
    <w:rsid w:val="00D77C01"/>
    <w:rsid w:val="00DA0AB2"/>
    <w:rsid w:val="00DB10DF"/>
    <w:rsid w:val="00DB706D"/>
    <w:rsid w:val="00E11984"/>
    <w:rsid w:val="00E14656"/>
    <w:rsid w:val="00E240D4"/>
    <w:rsid w:val="00E31608"/>
    <w:rsid w:val="00E44B13"/>
    <w:rsid w:val="00E92907"/>
    <w:rsid w:val="00EC4261"/>
    <w:rsid w:val="00EE22F6"/>
    <w:rsid w:val="00EE5756"/>
    <w:rsid w:val="00EE66FF"/>
    <w:rsid w:val="00EF7C35"/>
    <w:rsid w:val="00F07E59"/>
    <w:rsid w:val="00F66349"/>
    <w:rsid w:val="00FF50D2"/>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F8E"/>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683D42"/>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683D42"/>
    <w:rPr>
      <w:rFonts w:cs="Times New Roman"/>
      <w:sz w:val="20"/>
      <w:szCs w:val="20"/>
    </w:rPr>
  </w:style>
  <w:style w:type="character" w:styleId="FootnoteReference">
    <w:name w:val="footnote reference"/>
    <w:basedOn w:val="DefaultParagraphFont"/>
    <w:uiPriority w:val="99"/>
    <w:semiHidden/>
    <w:rsid w:val="00683D42"/>
    <w:rPr>
      <w:rFonts w:cs="Times New Roman"/>
      <w:vertAlign w:val="superscript"/>
    </w:rPr>
  </w:style>
  <w:style w:type="paragraph" w:styleId="Header">
    <w:name w:val="header"/>
    <w:basedOn w:val="Normal"/>
    <w:link w:val="HeaderChar"/>
    <w:uiPriority w:val="99"/>
    <w:rsid w:val="00396C15"/>
    <w:pPr>
      <w:tabs>
        <w:tab w:val="center" w:pos="4252"/>
        <w:tab w:val="right" w:pos="8504"/>
      </w:tabs>
      <w:spacing w:after="0" w:line="240" w:lineRule="auto"/>
    </w:pPr>
  </w:style>
  <w:style w:type="character" w:customStyle="1" w:styleId="HeaderChar">
    <w:name w:val="Header Char"/>
    <w:basedOn w:val="DefaultParagraphFont"/>
    <w:link w:val="Header"/>
    <w:uiPriority w:val="99"/>
    <w:locked/>
    <w:rsid w:val="00396C15"/>
    <w:rPr>
      <w:rFonts w:cs="Times New Roman"/>
    </w:rPr>
  </w:style>
  <w:style w:type="paragraph" w:styleId="Footer">
    <w:name w:val="footer"/>
    <w:basedOn w:val="Normal"/>
    <w:link w:val="FooterChar"/>
    <w:uiPriority w:val="99"/>
    <w:semiHidden/>
    <w:rsid w:val="00396C15"/>
    <w:pPr>
      <w:tabs>
        <w:tab w:val="center" w:pos="4252"/>
        <w:tab w:val="right" w:pos="8504"/>
      </w:tabs>
      <w:spacing w:after="0" w:line="240" w:lineRule="auto"/>
    </w:pPr>
  </w:style>
  <w:style w:type="character" w:customStyle="1" w:styleId="FooterChar">
    <w:name w:val="Footer Char"/>
    <w:basedOn w:val="DefaultParagraphFont"/>
    <w:link w:val="Footer"/>
    <w:uiPriority w:val="99"/>
    <w:semiHidden/>
    <w:locked/>
    <w:rsid w:val="00396C15"/>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11</Pages>
  <Words>3756</Words>
  <Characters>20285</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AS AÇÕES DIÁRIAS E AS ESTRATÉGIAS DE LUTA DO COMITÊ BRASILEIRO PELA ANISTIA (CBA-CE), NO CEARÁ (1975 a 1980)</dc:title>
  <dc:subject/>
  <dc:creator>Cliente</dc:creator>
  <cp:keywords/>
  <dc:description/>
  <cp:lastModifiedBy>Luiza Rios</cp:lastModifiedBy>
  <cp:revision>2</cp:revision>
  <dcterms:created xsi:type="dcterms:W3CDTF">2012-09-28T17:40:00Z</dcterms:created>
  <dcterms:modified xsi:type="dcterms:W3CDTF">2012-09-28T17:40:00Z</dcterms:modified>
</cp:coreProperties>
</file>