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eastAsia="Times New Roman" w:cs="Times New Roman"/>
          <w:b/>
          <w:sz w:val="24"/>
          <w:szCs w:val="24"/>
          <w:highlight w:val="white"/>
        </w:rPr>
      </w:pPr>
      <w:bookmarkStart w:id="0" w:name="_GoBack"/>
      <w:bookmarkEnd w:id="0"/>
      <w:r>
        <w:rPr>
          <w:rFonts w:ascii="Times New Roman" w:hAnsi="Times New Roman" w:eastAsia="Times New Roman" w:cs="Times New Roman"/>
          <w:b/>
          <w:sz w:val="24"/>
          <w:szCs w:val="24"/>
          <w:highlight w:val="white"/>
        </w:rPr>
        <w:t>AS MULHERES E A REVOLUÇÃO RUSSA</w:t>
      </w:r>
    </w:p>
    <w:p>
      <w:pPr>
        <w:spacing w:line="360" w:lineRule="auto"/>
        <w:jc w:val="righ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Letícia Helen Silva Teles</w:t>
      </w:r>
      <w:r>
        <w:rPr>
          <w:rFonts w:ascii="Times New Roman" w:hAnsi="Times New Roman" w:eastAsia="Times New Roman" w:cs="Times New Roman"/>
          <w:sz w:val="24"/>
          <w:szCs w:val="24"/>
          <w:highlight w:val="white"/>
          <w:vertAlign w:val="superscript"/>
        </w:rPr>
        <w:footnoteReference w:id="0"/>
      </w:r>
    </w:p>
    <w:p>
      <w:pPr>
        <w:spacing w:line="360" w:lineRule="auto"/>
        <w:jc w:val="righ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Tiago Bernardon de Oliveira (Orientador)</w:t>
      </w:r>
      <w:r>
        <w:rPr>
          <w:rFonts w:ascii="Times New Roman" w:hAnsi="Times New Roman" w:eastAsia="Times New Roman" w:cs="Times New Roman"/>
          <w:sz w:val="24"/>
          <w:szCs w:val="24"/>
          <w:highlight w:val="white"/>
          <w:vertAlign w:val="superscript"/>
        </w:rPr>
        <w:footnoteReference w:id="1"/>
      </w:r>
    </w:p>
    <w:p>
      <w:pPr>
        <w:spacing w:line="360" w:lineRule="auto"/>
        <w:jc w:val="right"/>
        <w:rPr>
          <w:rFonts w:ascii="Times New Roman" w:hAnsi="Times New Roman" w:eastAsia="Times New Roman" w:cs="Times New Roman"/>
          <w:sz w:val="24"/>
          <w:szCs w:val="24"/>
          <w:highlight w:val="white"/>
        </w:rPr>
      </w:pPr>
    </w:p>
    <w:p>
      <w:pPr>
        <w:spacing w:line="360" w:lineRule="auto"/>
        <w:jc w:val="center"/>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 xml:space="preserve">RESUMO </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Partindo da premissa de que – mesmo com os diversos silenciamentos estruturados pela sociedade – as mulheres cumprem seu papel enquanto sujeitos históricos e por isso devem estar presentes nas descrições historiográficas, esta comunicação objetiva propor uma explanação sobre a experiência das mulheres em um dos momentos mais significativos do século XX: a Revolução Russa. Elas lutaram contra a lógica patriarcal que inferioriza o “feminino” e o relega ao espaço privado e ao esquecimento. Nesse sentido, pretende-se aqui gerar reflexões sobre como a referida experiência se aproxima das lutas travadas ainda no tempo presente contra a opressão de gênero reproduzida e intensificada pelo capitalismo. Para tanto, se fará um balanço historiográfico, uma breve análise acerca do pensamento da revolucionária russa Alexandra Kolontai e uma explanação sobre a organização política das mulheres durante o período.</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Palavras-chave</w:t>
      </w:r>
      <w:r>
        <w:rPr>
          <w:rFonts w:ascii="Times New Roman" w:hAnsi="Times New Roman" w:eastAsia="Times New Roman" w:cs="Times New Roman"/>
          <w:sz w:val="24"/>
          <w:szCs w:val="24"/>
          <w:highlight w:val="white"/>
        </w:rPr>
        <w:t>: Opressão de gênero; Resistência feminina; Revolução Russa.</w:t>
      </w:r>
    </w:p>
    <w:p>
      <w:pPr>
        <w:spacing w:line="360" w:lineRule="auto"/>
        <w:rPr>
          <w:rFonts w:ascii="Times New Roman" w:hAnsi="Times New Roman" w:eastAsia="Times New Roman" w:cs="Times New Roman"/>
          <w:sz w:val="24"/>
          <w:szCs w:val="24"/>
          <w:highlight w:val="white"/>
        </w:rPr>
      </w:pPr>
    </w:p>
    <w:p>
      <w:pPr>
        <w:spacing w:line="360" w:lineRule="auto"/>
        <w:rPr>
          <w:rFonts w:ascii="Times New Roman" w:hAnsi="Times New Roman" w:eastAsia="Times New Roman" w:cs="Times New Roman"/>
          <w:b/>
          <w:sz w:val="24"/>
          <w:szCs w:val="24"/>
          <w:highlight w:val="white"/>
        </w:rPr>
      </w:pPr>
    </w:p>
    <w:p>
      <w:pPr>
        <w:spacing w:line="36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INTRODUÇÃO</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ab/>
      </w:r>
      <w:r>
        <w:rPr>
          <w:rFonts w:ascii="Times New Roman" w:hAnsi="Times New Roman" w:eastAsia="Times New Roman" w:cs="Times New Roman"/>
          <w:sz w:val="24"/>
          <w:szCs w:val="24"/>
          <w:highlight w:val="white"/>
        </w:rPr>
        <w:t>As mulheres são estruturalmente silenciadas nos espaços públicos. Este é um dos fatores determinantes para sua exclusão em grande parte das descrições historiográficas onde, por muito tempo, o que importava eram os espaços de poder – majoritariamente constituídos por homens. Como bem aponta Michele Perrot, “</w:t>
      </w:r>
      <w:r>
        <w:rPr>
          <w:rFonts w:ascii="Times New Roman" w:hAnsi="Times New Roman" w:eastAsia="Times New Roman" w:cs="Times New Roman"/>
          <w:sz w:val="24"/>
          <w:szCs w:val="24"/>
        </w:rPr>
        <w:t xml:space="preserve">o ‘ofício do historiador’ é um ofício de homens que escrevem a história do masculino” </w:t>
      </w:r>
      <w:r>
        <w:rPr>
          <w:rFonts w:ascii="Times New Roman" w:hAnsi="Times New Roman" w:eastAsia="Times New Roman" w:cs="Times New Roman"/>
          <w:sz w:val="24"/>
          <w:szCs w:val="24"/>
          <w:highlight w:val="white"/>
        </w:rPr>
        <w:t>(1988, p.185).</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Entretanto, as linhas de fugas sempre existem e a resistência das mulheres acontece tanto no plano concreto de suas ações, enquanto seres históricos, quanto no plano descritivo de preservação dessas memórias:</w:t>
      </w:r>
    </w:p>
    <w:p>
      <w:pPr>
        <w:spacing w:line="240" w:lineRule="auto"/>
        <w:ind w:left="2260"/>
        <w:jc w:val="both"/>
        <w:rPr>
          <w:rFonts w:ascii="Times New Roman" w:hAnsi="Times New Roman" w:eastAsia="Times New Roman" w:cs="Times New Roman"/>
          <w:i/>
          <w:sz w:val="20"/>
          <w:szCs w:val="20"/>
          <w:highlight w:val="white"/>
        </w:rPr>
      </w:pPr>
      <w:r>
        <w:rPr>
          <w:rFonts w:ascii="Times New Roman" w:hAnsi="Times New Roman" w:eastAsia="Times New Roman" w:cs="Times New Roman"/>
          <w:i/>
          <w:sz w:val="20"/>
          <w:szCs w:val="20"/>
          <w:highlight w:val="white"/>
        </w:rPr>
        <w:t>A história das mulheres certamente contribuiu para identificar e expandir nossa compreensão sobre novos fatos do passado, para incrementar nossos conhecimentos históricos. Este processo é cumulativo e interativo [...] Uma nova especialidade histórica nasceu contendo por objeto as mulheres, tornando-as sujeitos da história. (TILLY, 1994, p. 34).</w:t>
      </w:r>
    </w:p>
    <w:p>
      <w:pPr>
        <w:spacing w:line="360" w:lineRule="auto"/>
        <w:jc w:val="both"/>
        <w:rPr>
          <w:rFonts w:ascii="Times New Roman" w:hAnsi="Times New Roman" w:eastAsia="Times New Roman" w:cs="Times New Roman"/>
          <w:sz w:val="24"/>
          <w:szCs w:val="24"/>
          <w:highlight w:val="white"/>
        </w:rPr>
      </w:pP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Essas linhas de fugas estiveram e estão presentes em diversos recortes, sejam eles temporais ou locais. No recorte estabelecido para esta comunicação, é notória a participação das mulheres no processo revolucionário de construção do socialismo na URSS. Elas lutaram contra a lógica do patriarcado e do capital que inferioriza o sexo feminino e o relega ao esquecimento e ao espaço privado. Lutaram também contra a reprodução desta lógica que acabou acontecendo dentro do próprio campo socialista. </w:t>
      </w:r>
    </w:p>
    <w:p>
      <w:pPr>
        <w:spacing w:line="360" w:lineRule="auto"/>
        <w:ind w:firstLine="700"/>
        <w:jc w:val="both"/>
        <w:rPr>
          <w:rFonts w:ascii="Times New Roman" w:hAnsi="Times New Roman" w:eastAsia="Times New Roman" w:cs="Times New Roman"/>
          <w:sz w:val="24"/>
          <w:szCs w:val="24"/>
          <w:highlight w:val="white"/>
        </w:rPr>
      </w:pPr>
    </w:p>
    <w:p>
      <w:pPr>
        <w:spacing w:line="360" w:lineRule="auto"/>
      </w:pPr>
      <w:r>
        <w:rPr>
          <w:rFonts w:ascii="Times New Roman" w:hAnsi="Times New Roman" w:eastAsia="Times New Roman" w:cs="Times New Roman"/>
          <w:b/>
          <w:sz w:val="24"/>
          <w:szCs w:val="24"/>
          <w:highlight w:val="white"/>
        </w:rPr>
        <w:t>ALGUMAS INTERPRETAÇÕES SOBRE A REVOLUÇÃO RUSSA</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Quando as experiências concretas de construção do socialismo vêm à tona, imediatamente nos remetemos à experiência russa. Diversos antagonistas das perspectivas que focam a luta de classes utilizam as atitudes de Stalin para demonizar o comunismo. Já alguns simpatizantes relativizam em grande parte as mesmas medidas e preferem enxergar unicamente as partes positivas da experiência russa. </w:t>
      </w:r>
    </w:p>
    <w:p>
      <w:pPr>
        <w:spacing w:line="360" w:lineRule="auto"/>
        <w:ind w:firstLine="720"/>
        <w:jc w:val="both"/>
      </w:pPr>
      <w:r>
        <w:rPr>
          <w:rFonts w:ascii="Times New Roman" w:hAnsi="Times New Roman" w:eastAsia="Times New Roman" w:cs="Times New Roman"/>
          <w:sz w:val="24"/>
          <w:szCs w:val="24"/>
        </w:rPr>
        <w:t>Dentro da polarização, o rigor que deveria ser inerente à produção do conhecimento e do debate tem sido deixado, por vezes, de lado. Fugindo dessas incongruências, trataremos, a seguir, de três autores brasileiros que nos ajudam a compreender este processo revolucionário.</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Tragtenberg, que vem de uma matriz anarquista, faz uma crítica muito forte à burocratização, à hierarquização estatal e ao chamado centralismo democrático. Para ele, na construção de uma nova sociedade russa pós-1917, “substitui-se o czarismo pelo </w:t>
      </w:r>
      <w:r>
        <w:rPr>
          <w:rFonts w:ascii="Times New Roman" w:hAnsi="Times New Roman" w:eastAsia="Times New Roman" w:cs="Times New Roman"/>
          <w:i/>
          <w:sz w:val="24"/>
          <w:szCs w:val="24"/>
        </w:rPr>
        <w:t xml:space="preserve">capitalismo </w:t>
      </w:r>
      <w:r>
        <w:rPr>
          <w:rFonts w:ascii="Times New Roman" w:hAnsi="Times New Roman" w:eastAsia="Times New Roman" w:cs="Times New Roman"/>
          <w:sz w:val="24"/>
          <w:szCs w:val="24"/>
        </w:rPr>
        <w:t xml:space="preserve">de Estado” (2007, p. 126, grifo no original).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Segundo sua perspectiva, o partido bolchevique acabou sendo um órgão burguês, refletindo em sua própria organização aquilo que tanto se pretendia combater, através da distância entre a base e a direção, do autoritarismo e dos dogmas rígidos.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Para o autor, “todos os partidos carismáticos (que cultivam o liderismo) </w:t>
      </w:r>
      <w:r>
        <w:rPr>
          <w:rFonts w:ascii="Times New Roman" w:hAnsi="Times New Roman" w:eastAsia="Times New Roman" w:cs="Times New Roman"/>
          <w:i/>
          <w:sz w:val="24"/>
          <w:szCs w:val="24"/>
        </w:rPr>
        <w:t xml:space="preserve">desconfiam </w:t>
      </w:r>
      <w:r>
        <w:rPr>
          <w:rFonts w:ascii="Times New Roman" w:hAnsi="Times New Roman" w:eastAsia="Times New Roman" w:cs="Times New Roman"/>
          <w:sz w:val="24"/>
          <w:szCs w:val="24"/>
        </w:rPr>
        <w:t>profundamente da classe operária” (2007, p. 130, grifo no original), associam a espontaneidade</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com a desorganização e cortam qualquer possibilidade de luta autogestionada dos trabalhadores, pois na medida em que “o partido funde-se com o Estado e exerce seu poder </w:t>
      </w:r>
      <w:r>
        <w:rPr>
          <w:rFonts w:ascii="Times New Roman" w:hAnsi="Times New Roman" w:eastAsia="Times New Roman" w:cs="Times New Roman"/>
          <w:i/>
          <w:sz w:val="24"/>
          <w:szCs w:val="24"/>
        </w:rPr>
        <w:t>sobre</w:t>
      </w:r>
      <w:r>
        <w:rPr>
          <w:rFonts w:ascii="Times New Roman" w:hAnsi="Times New Roman" w:eastAsia="Times New Roman" w:cs="Times New Roman"/>
          <w:sz w:val="24"/>
          <w:szCs w:val="24"/>
        </w:rPr>
        <w:t xml:space="preserve"> o proletariado; é uma ditadura sim, mas </w:t>
      </w:r>
      <w:r>
        <w:rPr>
          <w:rFonts w:ascii="Times New Roman" w:hAnsi="Times New Roman" w:eastAsia="Times New Roman" w:cs="Times New Roman"/>
          <w:i/>
          <w:sz w:val="24"/>
          <w:szCs w:val="24"/>
        </w:rPr>
        <w:t>sem</w:t>
      </w:r>
      <w:r>
        <w:rPr>
          <w:rFonts w:ascii="Times New Roman" w:hAnsi="Times New Roman" w:eastAsia="Times New Roman" w:cs="Times New Roman"/>
          <w:sz w:val="24"/>
          <w:szCs w:val="24"/>
        </w:rPr>
        <w:t xml:space="preserve"> proletariado como sujeito ativo; este aparece apenas como mão-de-obra a ser explorada pela burocracia, que possui o Estado como sua propriedade privada” (2007, p.132, grifos no original). Portanto, na Rússia revolucionária o comunismo estaria se concretizando através de decreto e não de autonomia popular, o que seria uma contradição em si.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Ao contrário de Tragtenberg, Vizentini defende que, mesmo com todos os problemas, foi o stalinismo que conduziu a Rússia para a consolidação do socialismo. A propaganda e os aspectos autoritários e repressivos do stalinismo seriam desta forma insuficientes para explicar o poder e a legitimidade de Stalin. Esta legitimidade perante a população russa só existiu, segundo o autor, porque o papel social de estadista e líder foi concretizado por Stalin. Ainda na defesa de seus argumentos, o autor destaca que:</w:t>
      </w:r>
    </w:p>
    <w:p>
      <w:pPr>
        <w:spacing w:line="240" w:lineRule="auto"/>
        <w:ind w:left="2250"/>
        <w:jc w:val="both"/>
        <w:rPr>
          <w:rFonts w:ascii="Times New Roman" w:hAnsi="Times New Roman" w:eastAsia="Times New Roman" w:cs="Times New Roman"/>
          <w:sz w:val="20"/>
          <w:szCs w:val="20"/>
        </w:rPr>
      </w:pPr>
      <w:r>
        <w:rPr>
          <w:rFonts w:ascii="Times New Roman" w:hAnsi="Times New Roman" w:eastAsia="Times New Roman" w:cs="Times New Roman"/>
          <w:i/>
          <w:sz w:val="20"/>
          <w:szCs w:val="20"/>
        </w:rPr>
        <w:t>O stalinismo não se explica pelo socialismo, mas pelas características russas, pela dureza das condições histórico-sociais em que a coletivização e a industrialização tiveram de ser realizadas, e também, em grande medida, pela conjuntura internacional, tanto pela hostilidade externa como pelo isolamento e falta de apoio para vencer o atraso do país</w:t>
      </w:r>
      <w:r>
        <w:rPr>
          <w:rFonts w:ascii="Times New Roman" w:hAnsi="Times New Roman" w:eastAsia="Times New Roman" w:cs="Times New Roman"/>
          <w:sz w:val="20"/>
          <w:szCs w:val="20"/>
        </w:rPr>
        <w:t xml:space="preserve"> (1989, p. 95).</w:t>
      </w: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forma similar, Jorge Ferreira, por sua vez, faz uma forte crítica aos que tentam explicar a “legitimidade” de Stalin unicamente pela propaganda oficial e pelo terror propagado por ele e pelo partido. Stalin representaria para a população um “símbolo da transformação social e do desenvolvimento de um país que parecia condenado ao atraso” (2000, p. 95), ao ter sua imagem projetada como o responsável pelas mudanças positivas e pela esperança na vida cotidiana dos russos.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Além do mais, segundo o autor, não se pode explicar o terror stalinista sem levar em consideração as devidas relações com a organização do partido político de matriz leninista. A denúncia e as medidas atribuídas à oposição seriam formas fundamentais na definição da identidade do partido e do próprio proletariado. Stalin, enquanto líder soviético, e seu regime político teriam sido gerados pela própria sociedade russa através de seu ideal messiânico e de suas dificuldades no estabelecimento de uma identidade social. Por outro lado, o autor acredita que, mesmo tendo sido burocrático e impetuoso, o socialismo soviético não foi totalitário, muito pelo contrário, a Rússia seria nessa época um lugar de utopia.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Este debate, certamente, renderia diversas páginas, com muitos outros autores, tendo em vista que o processo revolucionário russo é um dos acontecimentos mais emblemáticos do século XX. Entretanto o nosso objetivo aqui é outro.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Onde estão as mulheres na descrição de todos esses autores e de tanto outros estudiosos da Revolução Russa? Nas referências em questão, poucas são as linhas em que as mulheres aparecem. Na parte que lhes resta, e quando estão presentes, entram apenas nos números populacionais afetados e resignados pela Nova Política Econômica. São apenas receptoras dos desígnios políticos dos homens, jamais protagonistas.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questões referentes à organização feminina e à participação das mulheres em todo o processo revolucionário simplesmente são invisibilizadas diante dos “grandes” fatos relacionados ao processo revolucionário conduzido majoritariamente por homens. Mas será mesmo que não houve luta nem voz das mulheres na Rússia revolucionária?</w:t>
      </w:r>
    </w:p>
    <w:p>
      <w:pPr>
        <w:spacing w:line="360" w:lineRule="auto"/>
        <w:jc w:val="both"/>
        <w:rPr>
          <w:rFonts w:ascii="Times New Roman" w:hAnsi="Times New Roman" w:eastAsia="Times New Roman" w:cs="Times New Roman"/>
          <w:sz w:val="24"/>
          <w:szCs w:val="24"/>
        </w:rPr>
      </w:pPr>
    </w:p>
    <w:p>
      <w:pPr>
        <w:spacing w:line="360" w:lineRule="auto"/>
        <w:jc w:val="both"/>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NO INÍCIO DA REVOLUÇÃO RUSSA: A DUPLA JORNADA DE TRABALHO, AS CONQUISTAS DAS MULHERES E O CÓDIGO DO CASAMENTO, DA FAMÍLIA E DA TUTELA</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Segundo os bolcheviques, as demandas do trabalho remunerado se confrontavam, através do processo de expansão e intensificação do capital e da sua industrialização, com as demandas do trabalho doméstico exercido estruturalmente pelas mulheres que se viam obrigadas a terem uma dupla jornada de trabalho. Essas responsabilidades, naturalizadas como femininas, dificultavam o processo de participação das mulheres nos espaços públicos e políticos, nos espaços de poder.</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Essa contradição gerada pelo capitalismo só seria resolvida através do socialismo, já que neste sistema o trabalho doméstico deveria ser transferido para a esfera pública e assim,</w:t>
      </w:r>
    </w:p>
    <w:p>
      <w:pPr>
        <w:spacing w:line="240" w:lineRule="auto"/>
        <w:ind w:left="2250"/>
        <w:jc w:val="both"/>
        <w:rPr>
          <w:rFonts w:ascii="Times New Roman" w:hAnsi="Times New Roman" w:eastAsia="Times New Roman" w:cs="Times New Roman"/>
          <w:i/>
          <w:sz w:val="20"/>
          <w:szCs w:val="20"/>
          <w:highlight w:val="white"/>
        </w:rPr>
      </w:pPr>
      <w:r>
        <w:rPr>
          <w:rFonts w:ascii="Times New Roman" w:hAnsi="Times New Roman" w:eastAsia="Times New Roman" w:cs="Times New Roman"/>
          <w:i/>
          <w:sz w:val="20"/>
          <w:szCs w:val="20"/>
          <w:highlight w:val="white"/>
        </w:rPr>
        <w:t>as tarefas realizadas individualmente por milhões de mulheres não pagas em suas casas seriam assumidas por trabalhadores assalariados em refeitórios, lavanderias e creches comunitários. Só assim as mulheres se veriam livres para ingressar na esfera pública em condições de igualdade com os homens, desvencilhadas das tarefas de casa. As mulheres seriam educadas e pagas igualitariamente, e seriam capazes de buscar seu próprio desenvolvimento e seus objetivos pessoais. Sob tais circunstâncias, o casamento se tornaria supérfluo. Homens e mulheres se uniriam e se separariam como quisessem, desassociados das pressões deformadoras da dependência econômica e da necessidade (GOLDMAN, 2014, p. 21).</w:t>
      </w:r>
    </w:p>
    <w:p>
      <w:pPr>
        <w:spacing w:line="240" w:lineRule="auto"/>
        <w:ind w:left="2250"/>
        <w:jc w:val="both"/>
        <w:rPr>
          <w:rFonts w:ascii="Times New Roman" w:hAnsi="Times New Roman" w:eastAsia="Times New Roman" w:cs="Times New Roman"/>
          <w:i/>
          <w:sz w:val="20"/>
          <w:szCs w:val="20"/>
          <w:highlight w:val="white"/>
        </w:rPr>
      </w:pP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Para garantir a concretização destas ideias, foi ratificado em outubro de 1918 o Código do Casamento, da Família e da Tutela, logo após a chegada dos bolcheviques ao poder. Entre todos os objetivos do Código – que se baseava na igualdade de gênero e nos direitos das mulheres – um dos mais fortes e impactantes para a época foi o definhamento da família que aconteceria na medida em que esta já não cumprisse mais o seu papel social. As relações amorosas não iriam mais se basear na dependência gerada pela desigualdade e sim na união livre, no amor, no respeito mútuo e na igualdade.</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Apesar das divergências dos teóricos e teóricas sobre detalhes mais pontuais como a questão do papel dos pais na criação dos filhos, da liberdade sexual, do divórcio e da necessidade do próprio definhamento da família, era lugar-comum pensar que o Estado deveria se responsabilizar pela libertação das mulheres das algemas do patriarcado. E mesmo conscientes de que as leis não seriam suficientes para que essa libertação fosse totalmente concretizada, os bolcheviques encontraram no novo Código uma forma de, em parte, varrer séculos de domínio patriarcal. </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Antes do processo revolucionário russo, a lei determinava que a esposa devia obediência completa a seu marido, precisava da permissão dele para obter educação e para trabalhar, por exemplo. Divorciar-se, então, era quase impossível. O Código de 1918 foi a legislação familiar mais progressista de sua época. </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Ao contrário do que os que defendem o conformismo propagam, os direitos não são alcançados graças à “benevolência” daqueles que estão no poder. As melhorias no campo jurídico só são alcançadas através de muita luta dos grupos envolvidos e na Rússia revolucionária não seria diferente. </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Nesse sentido, os avanços no que tange os direitos femininos foram possíveis através da participação direta das mulheres e das reivindicações das mesmas para ocuparem os lugares que deveriam ser de todos e todas. Um expoente dessa participação foi, sem dúvidas, Alexandra Kolontai, marxista que vivenciou e participou ativamente da Revolução de 1917 e da construção do socialismo na Rússia Soviética. </w:t>
      </w:r>
    </w:p>
    <w:p>
      <w:pPr>
        <w:spacing w:line="360" w:lineRule="auto"/>
        <w:ind w:firstLine="720"/>
        <w:jc w:val="both"/>
        <w:rPr>
          <w:rFonts w:ascii="Times New Roman" w:hAnsi="Times New Roman" w:eastAsia="Times New Roman" w:cs="Times New Roman"/>
          <w:sz w:val="24"/>
          <w:szCs w:val="24"/>
          <w:highlight w:val="white"/>
        </w:rPr>
      </w:pPr>
    </w:p>
    <w:p>
      <w:pPr>
        <w:spacing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KOLONTAI: O AMOR COMO FERRAMENTA SOCIAL</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Kolontai é reconhecida até os dias atuais por abordar a questão feminina e por lutar ativamente pela libertação, pela inserção no mercado de trabalho e pelos direitos das mulheres na Rússia revolucionária. Como bem aponta Tatau Godinho, socióloga e militante da Marcha Mundial das Mulheres, na introdução do livro </w:t>
      </w:r>
      <w:r>
        <w:rPr>
          <w:rFonts w:ascii="Times New Roman" w:hAnsi="Times New Roman" w:eastAsia="Times New Roman" w:cs="Times New Roman"/>
          <w:i/>
          <w:sz w:val="24"/>
          <w:szCs w:val="24"/>
          <w:highlight w:val="white"/>
        </w:rPr>
        <w:t>A Nova Mulher e a Moral Sexual</w:t>
      </w:r>
      <w:r>
        <w:rPr>
          <w:rFonts w:ascii="Times New Roman" w:hAnsi="Times New Roman" w:eastAsia="Times New Roman" w:cs="Times New Roman"/>
          <w:sz w:val="24"/>
          <w:szCs w:val="24"/>
          <w:highlight w:val="white"/>
        </w:rPr>
        <w:t>, Alexandra Kolontai expressa em suas obras e em suas lutas</w:t>
      </w:r>
    </w:p>
    <w:p>
      <w:pPr>
        <w:spacing w:line="240" w:lineRule="auto"/>
        <w:ind w:left="2250"/>
        <w:jc w:val="both"/>
        <w:rPr>
          <w:rFonts w:ascii="Times New Roman" w:hAnsi="Times New Roman" w:eastAsia="Times New Roman" w:cs="Times New Roman"/>
          <w:i/>
          <w:sz w:val="20"/>
          <w:szCs w:val="20"/>
          <w:highlight w:val="white"/>
        </w:rPr>
      </w:pPr>
      <w:r>
        <w:rPr>
          <w:rFonts w:ascii="Times New Roman" w:hAnsi="Times New Roman" w:eastAsia="Times New Roman" w:cs="Times New Roman"/>
          <w:i/>
          <w:sz w:val="20"/>
          <w:szCs w:val="20"/>
          <w:highlight w:val="white"/>
        </w:rPr>
        <w:t>uma crítica aguda às relações de dependência econômica, de subordinação das mulheres sobre as quais se constrói o casamento e a família tradicionais, suas reflexões insistem sobre a importância da autonomia econômica, da construção da individualidade independente das mulheres, do seu desenvolvimento profissional e intelectual, da ruptura com os valores de feminilidade assentados na submissão. Uma ruptura que exige a transformação de mulheres e homens. E que exige um investimento político concreto na mudança das condições de vida das mulheres para que as necessidades econômicas ou a maternidade não sejam empecilhos à sua libertação. Daí a importância de igualdade no direito ao trabalho, a ênfase sobre a libertação das mulheres da escravidão do trabalho doméstico, das políticas em relação à maternidade. (KOLONTAI, 2011, p. 8).</w:t>
      </w:r>
    </w:p>
    <w:p>
      <w:pPr>
        <w:spacing w:line="360" w:lineRule="auto"/>
        <w:ind w:left="2250"/>
        <w:jc w:val="both"/>
        <w:rPr>
          <w:rFonts w:ascii="Times New Roman" w:hAnsi="Times New Roman" w:eastAsia="Times New Roman" w:cs="Times New Roman"/>
          <w:sz w:val="20"/>
          <w:szCs w:val="20"/>
          <w:highlight w:val="white"/>
        </w:rPr>
      </w:pP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Em 1921, Kolontai escreve uma carta à juventude operária intitulada de “O amor na sociedade comunista”. Neste trabalho, a autora faz uma explanação sobre o lugar ocupado pelo amor na ideologia proletária. Para ela, a consolidação do comunismo na Rússia deveria gerar uma mudança não apenas nas questões econômicas e políticas mas também nas ideias, ideais e na própria subjetividade da classe trabalhadora.</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Escrita durante o desfecho da guerra civil russa e carregada da instabilidade gerada por esse momento, a carta afirma que a luta travada entre as ideologias burguesa e operária evidenciam novas demandas que só serão resolvidas através da ideologia proletária:</w:t>
      </w:r>
    </w:p>
    <w:p>
      <w:pPr>
        <w:spacing w:line="240" w:lineRule="auto"/>
        <w:ind w:left="2250"/>
        <w:jc w:val="both"/>
        <w:rPr>
          <w:rFonts w:ascii="Times New Roman" w:hAnsi="Times New Roman" w:eastAsia="Times New Roman" w:cs="Times New Roman"/>
          <w:i/>
          <w:sz w:val="20"/>
          <w:szCs w:val="20"/>
          <w:highlight w:val="white"/>
        </w:rPr>
      </w:pPr>
      <w:r>
        <w:rPr>
          <w:rFonts w:ascii="Times New Roman" w:hAnsi="Times New Roman" w:eastAsia="Times New Roman" w:cs="Times New Roman"/>
          <w:i/>
          <w:sz w:val="20"/>
          <w:szCs w:val="20"/>
          <w:highlight w:val="white"/>
        </w:rPr>
        <w:t>Entre estes múltiplos problemas encontra-se [...] o problema do amor, que a humanidade, nas diversas fases de seu desenvolvimento histórico, pretendeu resolver por meio de procedimentos diversos. Entretanto, o problema subsistia; unicamente variavam as tentativas de solução, que defenderiam, naturalmente, segundo o período, a classe e o espírito da época, ou seja, a cultura. (KOLONTAI, 2011, p.104).</w:t>
      </w:r>
    </w:p>
    <w:p>
      <w:pPr>
        <w:spacing w:line="360" w:lineRule="auto"/>
        <w:ind w:left="2100"/>
        <w:jc w:val="both"/>
        <w:rPr>
          <w:rFonts w:ascii="Times New Roman" w:hAnsi="Times New Roman" w:eastAsia="Times New Roman" w:cs="Times New Roman"/>
          <w:sz w:val="20"/>
          <w:szCs w:val="20"/>
          <w:highlight w:val="white"/>
        </w:rPr>
      </w:pP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Dos anos que sucederam a Revolução de 1917 até o fim da guerra civil, o espectro da morte e a possibilidade de derrota fizeram com que não existisse um debate maior sobre a construção das bases para o amor na sociedade comunista. Depois desse período, como aponta a autora, essa questão vai ganhando espaço dentro do processo de fixação de tudo o que foi conquistado, e o amor pode ser visto e assimilado como mais uma arma em defesa da classe proletária, em defesa do socialismo. Ele é parte imprescindível da luta revolucionária. Para Kolontai, o amor não pode, portanto, ser considerado tão e somente como parte da </w:t>
      </w:r>
      <w:r>
        <w:rPr>
          <w:rFonts w:ascii="Times New Roman" w:hAnsi="Times New Roman" w:eastAsia="Times New Roman" w:cs="Times New Roman"/>
          <w:i/>
          <w:sz w:val="24"/>
          <w:szCs w:val="24"/>
          <w:highlight w:val="white"/>
        </w:rPr>
        <w:t xml:space="preserve">psiquê </w:t>
      </w:r>
      <w:r>
        <w:rPr>
          <w:rFonts w:ascii="Times New Roman" w:hAnsi="Times New Roman" w:eastAsia="Times New Roman" w:cs="Times New Roman"/>
          <w:sz w:val="24"/>
          <w:szCs w:val="24"/>
          <w:highlight w:val="white"/>
        </w:rPr>
        <w:t>humana e de nossas manifestações individuais. Muito pelo contrário, pensar no amor é fundamental para a compreensão e transformação da coletividade.</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Em sua crítica à moral burguesa, a autora aponta a aproximação entre o matrimônio e o amor como bases dessa moral que chega, inclusive, a tratar os dois termos como sinônimos, esquecendo, minimizando e/ou menosprezando os sentimentos de amizade, por exemplo. A família existe, aqui, como acumuladora de capital, sendo, pois, uma unidade de consumo. O sentimento de propriedade também invade as relações amorosas, reforçando e reproduzindo sempre a “necessidade” da posse pelo outro. </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Totalmente contrária a este modelo de se tratar e de colocar em prática o amor, Kolontai acredita que a juventude trabalhadora russa deve “estabelecer relações entre os sexos que contribuam para tornar os homens mais felizes, mas que ao mesmo tempo não destruam os interesses da coletividade” (2011, p.119). Essas novas relações devem ter como base a camaradagem e a solidariedade já que</w:t>
      </w:r>
    </w:p>
    <w:p>
      <w:pPr>
        <w:spacing w:line="240" w:lineRule="auto"/>
        <w:ind w:left="2250"/>
        <w:jc w:val="both"/>
        <w:rPr>
          <w:rFonts w:ascii="Times New Roman" w:hAnsi="Times New Roman" w:eastAsia="Times New Roman" w:cs="Times New Roman"/>
          <w:i/>
          <w:sz w:val="20"/>
          <w:szCs w:val="20"/>
          <w:highlight w:val="white"/>
        </w:rPr>
      </w:pPr>
      <w:r>
        <w:rPr>
          <w:rFonts w:ascii="Times New Roman" w:hAnsi="Times New Roman" w:eastAsia="Times New Roman" w:cs="Times New Roman"/>
          <w:i/>
          <w:sz w:val="20"/>
          <w:szCs w:val="20"/>
          <w:highlight w:val="white"/>
        </w:rPr>
        <w:t>a ideologia proletária procura educar e reforçar em cada um dos membros da classe operária sentimentos de simpatia diante dos sofrimentos, das necessidades de seus camaradas de classe. A ideologia proletária tende, também, a compreender as aspirações dos demais e desenvolver consciência de sua união com os outros membros da coletividade. Mas todas essas sensações de simpatia, delicadeza e sensibilidade derivam de uma fonte comum: da capacidade para amar, não de amar no sentido propriamente sexual, mas do amor no sentido mais amplo da palavra. (KOLONTAI, 2011, p. 121).</w:t>
      </w:r>
    </w:p>
    <w:p>
      <w:pPr>
        <w:spacing w:line="360" w:lineRule="auto"/>
        <w:ind w:left="2100"/>
        <w:jc w:val="both"/>
        <w:rPr>
          <w:rFonts w:ascii="Times New Roman" w:hAnsi="Times New Roman" w:eastAsia="Times New Roman" w:cs="Times New Roman"/>
          <w:sz w:val="24"/>
          <w:szCs w:val="24"/>
          <w:highlight w:val="white"/>
        </w:rPr>
      </w:pP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No plano ideal, essas novas formas de vivências do amor deveriam se edificar paralelamente à igualdade nas relações, ao reconhecimento mútuo dos próprios direitos e dos direitos do outro, e à sensibilidade fraternal. Os vínculos amorosos estabelecidos entre dois indivíduos nunca devem ser maiores que os laços da coletividade. E como essa coletividade estava se articulando político e intelectualmente?</w:t>
      </w:r>
    </w:p>
    <w:p>
      <w:pPr>
        <w:spacing w:line="360" w:lineRule="auto"/>
        <w:jc w:val="both"/>
        <w:rPr>
          <w:rFonts w:ascii="Times New Roman" w:hAnsi="Times New Roman" w:eastAsia="Times New Roman" w:cs="Times New Roman"/>
          <w:sz w:val="24"/>
          <w:szCs w:val="24"/>
          <w:highlight w:val="white"/>
        </w:rPr>
      </w:pPr>
    </w:p>
    <w:p>
      <w:pPr>
        <w:spacing w:line="36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O ZHENOTDEL: SESSÃO DE MULHERES DO PARTIDO</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O campo intelectual da Rússia Revolucionária estava repleto de mulheres que, assim como Kolontai, teorizaram diversas questões que envolviam as relações de gênero e o papel da mulher na sociedade de então. Entretanto, era preciso alcançar e envolver as mulheres que, por diversos motivos, não estavam inseridas dentro dos meios intelectuais da época. Era preciso chegar na mulher trabalhadora. </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Por isso, logo no início do processo revolucionário na URSS, em 1919, através da percepção de que a vida das mulheres também era uma questão social a ser considerada pelo Partido Bolchevique, foi criada a Seção de Mulheres do Partido, intitulada de Zhenotdel.</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 xml:space="preserve">A seção surgiu para tratar de dois pontos básicos: a criação </w:t>
      </w:r>
      <w:r>
        <w:rPr>
          <w:rFonts w:ascii="Times New Roman" w:hAnsi="Times New Roman" w:eastAsia="Times New Roman" w:cs="Times New Roman"/>
          <w:sz w:val="24"/>
          <w:szCs w:val="24"/>
        </w:rPr>
        <w:t>de condições concretas para a absorção das demandas das mulheres trabalhadoras e a prática do plano político-ideológico para a libertação dessas mesmas mulheres dos grilhões seculares do patriarcado que sempre as tratou como inferiores:</w:t>
      </w:r>
    </w:p>
    <w:p>
      <w:pPr>
        <w:spacing w:line="240" w:lineRule="auto"/>
        <w:ind w:left="2250"/>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Primeiro, o partido bolchevique buscava não somente melhorar as condições materiais das mulheres, como também, modificar ideologicamente seu papel da sociedade: tarefas sempre decretadas como naturalmente femininas - como cuidar dos filhos e trabalhos domésticos, lavar roupas e cozinhar - a partir de então eram dever do Estado. Isso retirava as mulheres do lugar de inferior (diante do homem que não tinha como dever social cumprir estas tarefas), permitiam-na ter tempo para trabalhar e descansar (quando o capitalismo necessita da mão de obra feminina no mercado de trabalho, como se sabe, elas não deixam de fazer as tarefas domésticas para cumprir as laborais, tendo, então, uma dupla jornada de trabalho). Um segundo aspecto sobre o qual é possível considerar é a autonomia da mulher como ser humano e político, tendo direito a participar politicamente na sociedade. (</w:t>
      </w:r>
      <w:r>
        <w:rPr>
          <w:rFonts w:ascii="Times New Roman" w:hAnsi="Times New Roman" w:eastAsia="Times New Roman" w:cs="Times New Roman"/>
          <w:i/>
          <w:sz w:val="20"/>
          <w:szCs w:val="20"/>
          <w:highlight w:val="white"/>
        </w:rPr>
        <w:t>SENNA, 2014. p. 77).</w:t>
      </w:r>
    </w:p>
    <w:p>
      <w:pPr>
        <w:spacing w:line="360" w:lineRule="auto"/>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Como bem aponta </w:t>
      </w:r>
      <w:r>
        <w:rPr>
          <w:rFonts w:ascii="Times New Roman" w:hAnsi="Times New Roman" w:eastAsia="Times New Roman" w:cs="Times New Roman"/>
          <w:sz w:val="24"/>
          <w:szCs w:val="24"/>
          <w:highlight w:val="white"/>
        </w:rPr>
        <w:t xml:space="preserve">Senna (2014, p. 78), existia a necessidade de que as mulheres fossem as delegadas (dirigentes) e tivessem uma seção autônoma para que elas mesmas pudessem edificar suas políticas de atuação, pensando, é claro, em seu protagonismo no processo socialista de libertação feminina.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principal propósito do Zhenotdel, e das organizações de mulheres anteriores à criação oficial da seção era o de alcançar as mulheres que não faziam parte das lideranças e dos movimentos políticos para que elas pudessem ter conhecimento de seus direitos. Assim,</w:t>
      </w:r>
    </w:p>
    <w:p>
      <w:pPr>
        <w:spacing w:line="240" w:lineRule="auto"/>
        <w:ind w:left="2250"/>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é possível perceber que o Zhenotdel, enquanto seção pioneira à época, instituiu e organizou o trabalho para com as mulheres, visando não apenas a transformação de suas condições materiais, como também, a superação da opressão ideológica a esse gênero - o que significava, então, unir a luta das mulheres à luta socialista.  (SENNA, 2014, p. 80).</w:t>
      </w:r>
    </w:p>
    <w:p>
      <w:pPr>
        <w:spacing w:line="240" w:lineRule="auto"/>
        <w:ind w:left="225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Entre as atividades desenvolvidas pela Zhenotdel, como aponta Senna (2014, p. 79), estavam a supervisão de panfletos sobre o trabalho com mulheres, a agitação e a propaganda entre as mesmas, a publicação de boletins semanais e periódicos mensais, a organização de escolas de alfabetização (que chegaram a mais de 25 mil), o estabelecimento de creches e orfanatos, a facilitação e incentivo da participação das mulheres na vida política, a realização da compilação e troca de dados sobre as atividades dos departamentos/comissões de suas regiões, a organização de conferências que visavam mobilizar as forças do partido para o trabalho entre as mulheres, e a realização de conferências das mulheres de fora do partido.</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A introdução da Nova Política Econômica (NEP), em 1921, afetou diretamente as políticas voltadas para as mulheres. A partir de então, “</w:t>
      </w:r>
      <w:r>
        <w:rPr>
          <w:rFonts w:ascii="Times New Roman" w:hAnsi="Times New Roman" w:eastAsia="Times New Roman" w:cs="Times New Roman"/>
          <w:sz w:val="24"/>
          <w:szCs w:val="24"/>
        </w:rPr>
        <w:t>houve cortes no orçamento para os comitês locais do partido, nas instituições como creches, cozinhas comunitárias e lavanderias, tendo que as próprias ativistas da Zhenotdel criarem creches particulares e trabalharem na preparação de alimento” (SENNA, 2014, p. 79). A situação se agravou com a stalinização. No início de 1930, o comitê central decidiu fazer uma reorganização geral, e por achar que as questões das mulheres já estavam, em grande medida, solucionadas, resolveu acabar com o Zhenotdel:</w:t>
      </w:r>
    </w:p>
    <w:p>
      <w:pPr>
        <w:spacing w:line="240" w:lineRule="auto"/>
        <w:ind w:left="2250"/>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assim, o trabalho das mulheres de passar as vozes e as necessidades da grande massa de mulheres da União Soviética para o partido, para que esse pensasse políticas e soluções, junto com essas mesmas mulheres, se inverte: após a dissolução do Zhenotdel, o que acontece é a pura transmissão das vontades do partido para as mulheres soviéticas. (SENNA, 2014, p. 79).</w:t>
      </w:r>
    </w:p>
    <w:p>
      <w:pPr>
        <w:ind w:left="2250"/>
        <w:jc w:val="both"/>
        <w:rPr>
          <w:rFonts w:ascii="Times New Roman" w:hAnsi="Times New Roman" w:eastAsia="Times New Roman" w:cs="Times New Roman"/>
          <w:sz w:val="24"/>
          <w:szCs w:val="24"/>
        </w:rPr>
      </w:pPr>
    </w:p>
    <w:p>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Por fim, e ainda de acordo com Senna (2014, p. 80),  </w:t>
      </w:r>
    </w:p>
    <w:p>
      <w:pPr>
        <w:spacing w:line="240" w:lineRule="auto"/>
        <w:ind w:left="2250"/>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a necessidade dessa seção e, em algum grau, o sucesso de sua estratégia, é possível de ser comprovado exatamente com o decreto que infere sobre seu fim: a defesa estalinista de que a igualdade entre homens e mulheres já estava colocada, em uma realidade em que isso ainda não se dava, apenas legitimava a necessidade da continuidade do progressivo trabalho que o Zhenotdel realizava com as mulheres soviéticas.</w:t>
      </w:r>
    </w:p>
    <w:p>
      <w:pPr>
        <w:spacing w:line="240" w:lineRule="auto"/>
        <w:ind w:left="2250"/>
        <w:jc w:val="both"/>
        <w:rPr>
          <w:rFonts w:ascii="Times New Roman" w:hAnsi="Times New Roman" w:eastAsia="Times New Roman" w:cs="Times New Roman"/>
          <w:i/>
          <w:sz w:val="20"/>
          <w:szCs w:val="20"/>
        </w:rPr>
      </w:pPr>
    </w:p>
    <w:p>
      <w:pPr>
        <w:spacing w:line="36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CONCLUSÃO</w:t>
      </w:r>
    </w:p>
    <w:p>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A Revolução Russa é inegavelmente um processo de extrema importância dentro da história da humanidade. Analisar este momento é perceber uma série de discursos e de práticas que estão imersos no tempo presente; é perceber que durante aquele processo diversos avanços aconteceram e muito se lutou pelo fim das formas de opressão contra as mulheres que ora o capitalismo inventa, ora se apropria.</w:t>
      </w:r>
    </w:p>
    <w:p>
      <w:pPr>
        <w:spacing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O processo de consolidação do socialismo na Rússia foi um dos pioneiros na experiência de emancipação e libertação feminina. A Revolução Russa conseguiu avançar em direções que até os dias atuais não se concretizaram a nível mundial e nela se lutou contra desigualdades que ainda são reproduzidas na contemporaneidade.</w:t>
      </w:r>
    </w:p>
    <w:p>
      <w:pPr>
        <w:spacing w:line="360" w:lineRule="auto"/>
        <w:ind w:firstLine="7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 xml:space="preserve"> O estudo da participação das mulheres no contexto da Revolução Russa e seu registro historiográfico são fundamentais para o fortalecimento da atual luta feminina, na medida em que </w:t>
      </w:r>
      <w:r>
        <w:rPr>
          <w:rFonts w:ascii="Times New Roman" w:hAnsi="Times New Roman" w:eastAsia="Times New Roman" w:cs="Times New Roman"/>
          <w:sz w:val="24"/>
          <w:szCs w:val="24"/>
        </w:rPr>
        <w:t>tornam evidentes as formas de opressão e de lutas do passado, ajudando-nos a perceber, no presente, os desafios que temos para a construção de um futuro de emancipação.</w:t>
      </w:r>
    </w:p>
    <w:p>
      <w:pPr>
        <w:spacing w:line="360" w:lineRule="auto"/>
        <w:ind w:firstLine="70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É importante conhecer de alguma forma essas e outras memórias, porque é também através delas que as mulheres poderão continuar traçando novos caminhos para alcançar as tão sonhadas liberdade e equidade. Compreender as resistências femininas – neste recorte temporal e espacial ou em qualquer outro – é, portanto, essencial para o fortalecimento das lutas das mulheres por visibilidade e protagonismo.</w:t>
      </w:r>
    </w:p>
    <w:p>
      <w:pPr>
        <w:spacing w:line="360" w:lineRule="auto"/>
        <w:ind w:firstLine="700"/>
        <w:jc w:val="both"/>
        <w:rPr>
          <w:rFonts w:ascii="Times New Roman" w:hAnsi="Times New Roman" w:eastAsia="Times New Roman" w:cs="Times New Roman"/>
          <w:sz w:val="24"/>
          <w:szCs w:val="24"/>
          <w:highlight w:val="white"/>
        </w:rPr>
      </w:pPr>
    </w:p>
    <w:p>
      <w:pPr>
        <w:spacing w:line="36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REFERÊNCIAS BIBLIOGRÁFICAS</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FERREIRA, Jorge. O socialismo soviético. In: REIS FILHO, Daniel. FERREIRA, Jorge. ZENHA, Celeste (Orgs.). </w:t>
      </w:r>
      <w:r>
        <w:rPr>
          <w:rFonts w:ascii="Times New Roman" w:hAnsi="Times New Roman" w:eastAsia="Times New Roman" w:cs="Times New Roman"/>
          <w:b/>
          <w:sz w:val="24"/>
          <w:szCs w:val="24"/>
        </w:rPr>
        <w:t>O Século XX</w:t>
      </w:r>
      <w:r>
        <w:rPr>
          <w:rFonts w:ascii="Times New Roman" w:hAnsi="Times New Roman" w:eastAsia="Times New Roman" w:cs="Times New Roman"/>
          <w:sz w:val="24"/>
          <w:szCs w:val="24"/>
        </w:rPr>
        <w:t>: Vol.2 - O tempo das crises. Rio de Janeiro: Civilização Brasileira, 2000, p. 81-108.</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GOLDMAN, Wendy Z. </w:t>
      </w:r>
      <w:r>
        <w:rPr>
          <w:rFonts w:ascii="Times New Roman" w:hAnsi="Times New Roman" w:eastAsia="Times New Roman" w:cs="Times New Roman"/>
          <w:b/>
          <w:sz w:val="24"/>
          <w:szCs w:val="24"/>
          <w:highlight w:val="white"/>
        </w:rPr>
        <w:t>Mulher, Estado e revolução</w:t>
      </w:r>
      <w:r>
        <w:rPr>
          <w:rFonts w:ascii="Times New Roman" w:hAnsi="Times New Roman" w:eastAsia="Times New Roman" w:cs="Times New Roman"/>
          <w:sz w:val="24"/>
          <w:szCs w:val="24"/>
          <w:highlight w:val="white"/>
        </w:rPr>
        <w:t>: política familiar e vida social soviéticas, 1917-1936. Tradução: Natália Angyalossy Alfonso; Colaboração: Daniel Angyalossy Alfonso e Marie Christine Aguirre Castañeda. 1 ed. - São Paulo: Boitempo: Iskra Edições, 2014.</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KOLONTAI, Alexandra.</w:t>
      </w:r>
      <w:r>
        <w:rPr>
          <w:rFonts w:ascii="Times New Roman" w:hAnsi="Times New Roman" w:eastAsia="Times New Roman" w:cs="Times New Roman"/>
          <w:b/>
          <w:sz w:val="24"/>
          <w:szCs w:val="24"/>
          <w:highlight w:val="white"/>
        </w:rPr>
        <w:t xml:space="preserve"> A nova mulher e a moral sexual</w:t>
      </w:r>
      <w:r>
        <w:rPr>
          <w:rFonts w:ascii="Times New Roman" w:hAnsi="Times New Roman" w:eastAsia="Times New Roman" w:cs="Times New Roman"/>
          <w:sz w:val="24"/>
          <w:szCs w:val="24"/>
          <w:highlight w:val="white"/>
        </w:rPr>
        <w:t>. 2.ed. São Paulo: Expressão Popular, 2011.</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PERROT, Michelle. </w:t>
      </w:r>
      <w:r>
        <w:rPr>
          <w:rFonts w:ascii="Times New Roman" w:hAnsi="Times New Roman" w:eastAsia="Times New Roman" w:cs="Times New Roman"/>
          <w:b/>
          <w:sz w:val="24"/>
          <w:szCs w:val="24"/>
          <w:highlight w:val="white"/>
        </w:rPr>
        <w:t>Os excluídos da história</w:t>
      </w:r>
      <w:r>
        <w:rPr>
          <w:rFonts w:ascii="Times New Roman" w:hAnsi="Times New Roman" w:eastAsia="Times New Roman" w:cs="Times New Roman"/>
          <w:sz w:val="24"/>
          <w:szCs w:val="24"/>
          <w:highlight w:val="white"/>
        </w:rPr>
        <w:t xml:space="preserve">: operários, mulheres e prisioneiros. Rio de Janeiro: Paz e Terra, 1988. </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PERROT, Michelle. </w:t>
      </w:r>
      <w:r>
        <w:rPr>
          <w:rFonts w:ascii="Times New Roman" w:hAnsi="Times New Roman" w:eastAsia="Times New Roman" w:cs="Times New Roman"/>
          <w:b/>
          <w:sz w:val="24"/>
          <w:szCs w:val="24"/>
          <w:highlight w:val="white"/>
        </w:rPr>
        <w:t>As mulheres ou os silêncios da história</w:t>
      </w:r>
      <w:r>
        <w:rPr>
          <w:rFonts w:ascii="Times New Roman" w:hAnsi="Times New Roman" w:eastAsia="Times New Roman" w:cs="Times New Roman"/>
          <w:sz w:val="24"/>
          <w:szCs w:val="24"/>
          <w:highlight w:val="white"/>
        </w:rPr>
        <w:t xml:space="preserve">. Bauru, SP: EDUSC, 2005. </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SENNA, Thaiz Carvalho. ZHENOTDEL - A seção de mulheres do Partido-Bolchevique Soviético. In.: </w:t>
      </w:r>
      <w:r>
        <w:rPr>
          <w:rFonts w:ascii="Times New Roman" w:hAnsi="Times New Roman" w:eastAsia="Times New Roman" w:cs="Times New Roman"/>
          <w:b/>
          <w:sz w:val="24"/>
          <w:szCs w:val="24"/>
          <w:highlight w:val="white"/>
        </w:rPr>
        <w:t>Revista História e Luta de Classes</w:t>
      </w:r>
      <w:r>
        <w:rPr>
          <w:rFonts w:ascii="Times New Roman" w:hAnsi="Times New Roman" w:eastAsia="Times New Roman" w:cs="Times New Roman"/>
          <w:sz w:val="24"/>
          <w:szCs w:val="24"/>
          <w:highlight w:val="white"/>
        </w:rPr>
        <w:t>. Edição Nº 17. 2014</w:t>
      </w:r>
    </w:p>
    <w:p>
      <w:pPr>
        <w:spacing w:after="1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TILLY,  Louise A. Gênero, História das Mulheres e História Social. In.: </w:t>
      </w:r>
      <w:r>
        <w:rPr>
          <w:rFonts w:ascii="Times New Roman" w:hAnsi="Times New Roman" w:eastAsia="Times New Roman" w:cs="Times New Roman"/>
          <w:b/>
          <w:sz w:val="24"/>
          <w:szCs w:val="24"/>
          <w:highlight w:val="white"/>
        </w:rPr>
        <w:t>Cadernos Pagu (3)</w:t>
      </w:r>
      <w:r>
        <w:rPr>
          <w:rFonts w:ascii="Times New Roman" w:hAnsi="Times New Roman" w:eastAsia="Times New Roman" w:cs="Times New Roman"/>
          <w:sz w:val="24"/>
          <w:szCs w:val="24"/>
          <w:highlight w:val="white"/>
        </w:rPr>
        <w:t xml:space="preserve">, 1994. </w:t>
      </w:r>
    </w:p>
    <w:p>
      <w:pPr>
        <w:spacing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TRAGTENBERG, Maurício. O Processo da Revolução Russa. In.: </w:t>
      </w:r>
      <w:r>
        <w:rPr>
          <w:rFonts w:ascii="Times New Roman" w:hAnsi="Times New Roman" w:eastAsia="Times New Roman" w:cs="Times New Roman"/>
          <w:b/>
          <w:sz w:val="24"/>
          <w:szCs w:val="24"/>
        </w:rPr>
        <w:t>A Revolução Russa.</w:t>
      </w:r>
      <w:r>
        <w:rPr>
          <w:rFonts w:ascii="Times New Roman" w:hAnsi="Times New Roman" w:eastAsia="Times New Roman" w:cs="Times New Roman"/>
          <w:sz w:val="24"/>
          <w:szCs w:val="24"/>
        </w:rPr>
        <w:t xml:space="preserve">  São Paulo: Editora Unesp. 2. ed., 2007. </w:t>
      </w:r>
    </w:p>
    <w:p>
      <w:pPr>
        <w:spacing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VIZENTINI, Paulo F. </w:t>
      </w:r>
      <w:r>
        <w:rPr>
          <w:rFonts w:ascii="Times New Roman" w:hAnsi="Times New Roman" w:eastAsia="Times New Roman" w:cs="Times New Roman"/>
          <w:b/>
          <w:sz w:val="24"/>
          <w:szCs w:val="24"/>
        </w:rPr>
        <w:t>A Revolução Soviética (1905-45)</w:t>
      </w:r>
      <w:r>
        <w:rPr>
          <w:rFonts w:ascii="Times New Roman" w:hAnsi="Times New Roman" w:eastAsia="Times New Roman" w:cs="Times New Roman"/>
          <w:sz w:val="24"/>
          <w:szCs w:val="24"/>
        </w:rPr>
        <w:t xml:space="preserve">: o socialismo num só país. Porto Alegre: Mercado Aberto, 1989.  </w:t>
      </w:r>
    </w:p>
    <w:sectPr>
      <w:headerReference r:id="rId5" w:type="first"/>
      <w:headerReference r:id="rId4" w:type="default"/>
      <w:pgSz w:w="11909" w:h="16834"/>
      <w:pgMar w:top="1440" w:right="1440" w:bottom="1440" w:left="1440" w:header="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240" w:lineRule="auto"/>
        <w:jc w:val="both"/>
        <w:rPr>
          <w:sz w:val="20"/>
          <w:szCs w:val="20"/>
        </w:rPr>
      </w:pPr>
      <w:r>
        <w:rPr>
          <w:vertAlign w:val="superscript"/>
        </w:rPr>
        <w:footnoteRef/>
      </w:r>
      <w:r>
        <w:rPr>
          <w:sz w:val="20"/>
          <w:szCs w:val="20"/>
        </w:rPr>
        <w:t xml:space="preserve"> Graduanda em Licenciatura Plena em História pela Universidade Federal da Paraíba (UFPB).</w:t>
      </w:r>
    </w:p>
  </w:footnote>
  <w:footnote w:id="1">
    <w:p>
      <w:pPr>
        <w:spacing w:line="240" w:lineRule="auto"/>
        <w:jc w:val="both"/>
        <w:rPr>
          <w:sz w:val="20"/>
          <w:szCs w:val="20"/>
        </w:rPr>
      </w:pPr>
      <w:r>
        <w:rPr>
          <w:vertAlign w:val="superscript"/>
        </w:rPr>
        <w:footnoteRef/>
      </w:r>
      <w:r>
        <w:rPr>
          <w:sz w:val="20"/>
          <w:szCs w:val="20"/>
        </w:rPr>
        <w:t xml:space="preserve"> Docente do Departamento de História e do Programa de Pós-Graduação em História da Universidade Federal da Paraíba (UFPB). Doutor em História pela Universidade Federal Fluminense (UFF).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E2"/>
    <w:rsid w:val="00072F96"/>
    <w:rsid w:val="000F6014"/>
    <w:rsid w:val="001406F6"/>
    <w:rsid w:val="00147DDE"/>
    <w:rsid w:val="00443119"/>
    <w:rsid w:val="0044573B"/>
    <w:rsid w:val="00607CA7"/>
    <w:rsid w:val="007E7608"/>
    <w:rsid w:val="009852E3"/>
    <w:rsid w:val="00AC08D8"/>
    <w:rsid w:val="00BB1987"/>
    <w:rsid w:val="00BC43DC"/>
    <w:rsid w:val="00BD40AF"/>
    <w:rsid w:val="00C07397"/>
    <w:rsid w:val="00C37225"/>
    <w:rsid w:val="00D13538"/>
    <w:rsid w:val="00D86D47"/>
    <w:rsid w:val="00DD6BE2"/>
    <w:rsid w:val="00E34DB0"/>
    <w:rsid w:val="00F84EEF"/>
    <w:rsid w:val="708D4068"/>
  </w:rsids>
  <m:mathPr>
    <m:lMargin m:val="0"/>
    <m:mathFont m:val="Cambria Math"/>
    <m:rMargin m:val="0"/>
    <m:wrapIndent m:val="1440"/>
    <m:brkBin m:val="before"/>
    <m:brkBinSub m:val="--"/>
    <m:defJc m:val="centerGroup"/>
    <m:intLim m:val="subSup"/>
    <m:naryLim m:val="undOvr"/>
    <m:smallFrac m:val="0"/>
    <m:dispDef/>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76" w:lineRule="auto"/>
    </w:pPr>
    <w:rPr>
      <w:rFonts w:ascii="Arial" w:hAnsi="Arial" w:eastAsia="Arial" w:cs="Arial"/>
      <w:color w:val="000000"/>
      <w:sz w:val="22"/>
      <w:szCs w:val="22"/>
      <w:lang w:val="pt-BR" w:eastAsia="pt-BR"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10">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after="320"/>
    </w:pPr>
    <w:rPr>
      <w:color w:val="666666"/>
      <w:sz w:val="30"/>
      <w:szCs w:val="30"/>
    </w:rPr>
  </w:style>
  <w:style w:type="paragraph" w:styleId="9">
    <w:name w:val="Title"/>
    <w:basedOn w:val="1"/>
    <w:next w:val="1"/>
    <w:uiPriority w:val="0"/>
    <w:pPr>
      <w:keepNext/>
      <w:keepLines/>
      <w:spacing w:after="60"/>
    </w:pPr>
    <w:rPr>
      <w:sz w:val="52"/>
      <w:szCs w:val="52"/>
    </w:rPr>
  </w:style>
  <w:style w:type="table" w:customStyle="1" w:styleId="12">
    <w:name w:val="Table Normal1"/>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3743</Words>
  <Characters>20215</Characters>
  <Lines>168</Lines>
  <Paragraphs>47</Paragraphs>
  <TotalTime>0</TotalTime>
  <ScaleCrop>false</ScaleCrop>
  <LinksUpToDate>false</LinksUpToDate>
  <CharactersWithSpaces>23911</CharactersWithSpaces>
  <Application>WPS Office_10.2.0.5820_F1E327BC-269C-435d-A152-05C5408002CA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2017-05-04T20:58:00Z</dcterms:created>
  <dc:creator>Tiago Bernardon de Oliveira</dc:creator>
  <cp:lastModifiedBy>Pedro</cp:lastModifiedBy>
  <dcterms:modified xsi:type="dcterms:W3CDTF">2017-05-06T13:26:41Z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